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DA" w:rsidRPr="00AC6ACC" w:rsidRDefault="00B543DA" w:rsidP="00F76447">
      <w:pPr>
        <w:pStyle w:val="Naslov"/>
        <w:ind w:right="-432"/>
        <w:rPr>
          <w:sz w:val="24"/>
          <w:szCs w:val="24"/>
          <w:lang w:val="hr-HR"/>
        </w:rPr>
      </w:pPr>
      <w:r w:rsidRPr="00AC6ACC">
        <w:rPr>
          <w:sz w:val="24"/>
          <w:szCs w:val="24"/>
          <w:lang w:val="hr-HR"/>
        </w:rPr>
        <w:t xml:space="preserve">CHRMED02: Kršćanstvo u srednjem vijeku II </w:t>
      </w:r>
    </w:p>
    <w:p w:rsidR="00B543DA" w:rsidRPr="00AC6ACC" w:rsidRDefault="00B543DA" w:rsidP="00F76447">
      <w:pPr>
        <w:ind w:right="-432"/>
        <w:jc w:val="center"/>
        <w:rPr>
          <w:sz w:val="22"/>
          <w:szCs w:val="22"/>
          <w:lang w:val="hr-HR"/>
        </w:rPr>
      </w:pPr>
      <w:r w:rsidRPr="00AC6ACC">
        <w:rPr>
          <w:sz w:val="22"/>
          <w:szCs w:val="22"/>
          <w:lang w:val="hr-HR"/>
        </w:rPr>
        <w:t>(15+15 sati predavanja/seminara, 6 ECTS)</w:t>
      </w:r>
    </w:p>
    <w:p w:rsidR="00B543DA" w:rsidRPr="00AC6ACC" w:rsidRDefault="00C61D4B" w:rsidP="00F76447">
      <w:pPr>
        <w:ind w:right="-432"/>
        <w:jc w:val="center"/>
        <w:rPr>
          <w:sz w:val="22"/>
          <w:szCs w:val="22"/>
          <w:lang w:val="hr-HR"/>
        </w:rPr>
      </w:pPr>
      <w:r>
        <w:rPr>
          <w:sz w:val="22"/>
          <w:szCs w:val="22"/>
          <w:lang w:val="hr-HR"/>
        </w:rPr>
        <w:t>zimski semestar 2014./2015</w:t>
      </w:r>
      <w:r w:rsidR="00B543DA" w:rsidRPr="00AC6ACC">
        <w:rPr>
          <w:sz w:val="22"/>
          <w:szCs w:val="22"/>
          <w:lang w:val="hr-HR"/>
        </w:rPr>
        <w:t>.</w:t>
      </w:r>
    </w:p>
    <w:p w:rsidR="00B543DA" w:rsidRPr="00AC6ACC" w:rsidRDefault="00B543DA" w:rsidP="00F76447">
      <w:pPr>
        <w:ind w:right="-432"/>
        <w:jc w:val="center"/>
        <w:rPr>
          <w:lang w:val="hr-HR"/>
        </w:rPr>
      </w:pPr>
    </w:p>
    <w:p w:rsidR="00B543DA" w:rsidRPr="00AC6ACC" w:rsidRDefault="007B7507" w:rsidP="00F76447">
      <w:pPr>
        <w:ind w:right="-432"/>
        <w:jc w:val="center"/>
        <w:rPr>
          <w:lang w:val="hr-HR"/>
        </w:rPr>
      </w:pPr>
      <w:r w:rsidRPr="007B7507">
        <w:rPr>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46.85pt">
            <v:imagedata r:id="rId6" o:title=""/>
          </v:shape>
        </w:pict>
      </w:r>
    </w:p>
    <w:p w:rsidR="00B543DA" w:rsidRPr="00AC6ACC" w:rsidRDefault="00B543DA" w:rsidP="00F76447">
      <w:pPr>
        <w:ind w:right="-432"/>
        <w:jc w:val="center"/>
        <w:rPr>
          <w:lang w:val="hr-HR"/>
        </w:rPr>
      </w:pPr>
    </w:p>
    <w:p w:rsidR="00B543DA" w:rsidRPr="00AC6ACC" w:rsidRDefault="00AB1008" w:rsidP="00F76447">
      <w:pPr>
        <w:ind w:right="-432"/>
        <w:jc w:val="center"/>
        <w:rPr>
          <w:sz w:val="22"/>
          <w:szCs w:val="22"/>
          <w:lang w:val="hr-HR"/>
        </w:rPr>
      </w:pPr>
      <w:r>
        <w:rPr>
          <w:sz w:val="22"/>
          <w:szCs w:val="22"/>
          <w:lang w:val="hr-HR"/>
        </w:rPr>
        <w:t>Nositelj/p</w:t>
      </w:r>
      <w:r w:rsidR="00B543DA" w:rsidRPr="00AC6ACC">
        <w:rPr>
          <w:sz w:val="22"/>
          <w:szCs w:val="22"/>
          <w:lang w:val="hr-HR"/>
        </w:rPr>
        <w:t>redavač: dr. sc. Trpimir Vedriš (C-115), tel. 6120</w:t>
      </w:r>
      <w:r w:rsidR="00615E32">
        <w:rPr>
          <w:sz w:val="22"/>
          <w:szCs w:val="22"/>
          <w:lang w:val="hr-HR"/>
        </w:rPr>
        <w:t>-</w:t>
      </w:r>
      <w:r w:rsidR="00B543DA" w:rsidRPr="00AC6ACC">
        <w:rPr>
          <w:sz w:val="22"/>
          <w:szCs w:val="22"/>
          <w:lang w:val="hr-HR"/>
        </w:rPr>
        <w:t>155</w:t>
      </w:r>
    </w:p>
    <w:p w:rsidR="00B543DA" w:rsidRPr="00AC6ACC" w:rsidRDefault="00B543DA" w:rsidP="00F76447">
      <w:pPr>
        <w:ind w:right="-432"/>
        <w:jc w:val="center"/>
        <w:rPr>
          <w:sz w:val="22"/>
          <w:szCs w:val="22"/>
          <w:lang w:val="hr-HR"/>
        </w:rPr>
      </w:pPr>
      <w:r w:rsidRPr="00AC6ACC">
        <w:rPr>
          <w:sz w:val="22"/>
          <w:szCs w:val="22"/>
          <w:lang w:val="hr-HR"/>
        </w:rPr>
        <w:t xml:space="preserve">Savjetovanje: ponedjeljkom 9,30-11,00; srijedom </w:t>
      </w:r>
      <w:r w:rsidR="00AB1008">
        <w:rPr>
          <w:sz w:val="22"/>
          <w:szCs w:val="22"/>
          <w:lang w:val="hr-HR"/>
        </w:rPr>
        <w:t>9,30-11</w:t>
      </w:r>
      <w:r w:rsidRPr="00AC6ACC">
        <w:rPr>
          <w:sz w:val="22"/>
          <w:szCs w:val="22"/>
          <w:lang w:val="hr-HR"/>
        </w:rPr>
        <w:t>,00 i/ili prema dogovoru</w:t>
      </w:r>
    </w:p>
    <w:p w:rsidR="00B543DA" w:rsidRPr="00AC6ACC" w:rsidRDefault="00B543DA" w:rsidP="00F76447">
      <w:pPr>
        <w:ind w:right="-432"/>
        <w:jc w:val="center"/>
        <w:rPr>
          <w:sz w:val="22"/>
          <w:szCs w:val="22"/>
          <w:lang w:val="hr-HR"/>
        </w:rPr>
      </w:pPr>
      <w:r w:rsidRPr="00AC6ACC">
        <w:rPr>
          <w:sz w:val="22"/>
          <w:szCs w:val="22"/>
          <w:lang w:val="hr-HR"/>
        </w:rPr>
        <w:t>E-pošta: tvedris@gmail.com</w:t>
      </w:r>
    </w:p>
    <w:p w:rsidR="00B543DA" w:rsidRPr="00AC6ACC" w:rsidRDefault="00B543DA" w:rsidP="00F76447">
      <w:pPr>
        <w:jc w:val="both"/>
        <w:rPr>
          <w:b/>
          <w:bCs/>
          <w:i/>
          <w:iCs/>
          <w:sz w:val="22"/>
          <w:szCs w:val="22"/>
          <w:lang w:val="hr-HR"/>
        </w:rPr>
      </w:pPr>
    </w:p>
    <w:p w:rsidR="00B543DA" w:rsidRPr="00AC6ACC" w:rsidRDefault="00B543DA" w:rsidP="00F76447">
      <w:pPr>
        <w:ind w:right="-432"/>
        <w:jc w:val="both"/>
        <w:rPr>
          <w:b/>
          <w:bCs/>
          <w:lang w:val="hr-HR"/>
        </w:rPr>
      </w:pPr>
      <w:r w:rsidRPr="00AC6ACC">
        <w:rPr>
          <w:b/>
          <w:bCs/>
          <w:lang w:val="hr-HR"/>
        </w:rPr>
        <w:t>1. Opis predmeta</w:t>
      </w:r>
    </w:p>
    <w:p w:rsidR="00B543DA" w:rsidRPr="00AC6ACC" w:rsidRDefault="00B543DA" w:rsidP="00796983">
      <w:pPr>
        <w:spacing w:after="120"/>
        <w:ind w:right="-431"/>
        <w:jc w:val="both"/>
        <w:rPr>
          <w:b/>
          <w:bCs/>
          <w:i/>
          <w:iCs/>
          <w:sz w:val="20"/>
          <w:szCs w:val="20"/>
          <w:lang w:val="hr-HR"/>
        </w:rPr>
      </w:pPr>
      <w:r w:rsidRPr="00AC6ACC">
        <w:rPr>
          <w:sz w:val="20"/>
          <w:szCs w:val="20"/>
          <w:lang w:val="hr-HR"/>
        </w:rPr>
        <w:t xml:space="preserve">Zamišljen kao nastavak predmeta </w:t>
      </w:r>
      <w:r w:rsidRPr="00AC6ACC">
        <w:rPr>
          <w:i/>
          <w:iCs/>
          <w:sz w:val="20"/>
          <w:szCs w:val="20"/>
          <w:lang w:val="hr-HR"/>
        </w:rPr>
        <w:t>Kršćanstvo u srednjem vijeku I</w:t>
      </w:r>
      <w:r w:rsidRPr="00AC6ACC">
        <w:rPr>
          <w:sz w:val="20"/>
          <w:szCs w:val="20"/>
          <w:lang w:val="hr-HR"/>
        </w:rPr>
        <w:t>, ovaj će kolegij kroz odabrane teme iz povijesti europskog kršćanstva obrađivati specifično kršćanske elemente srednjovjekovne kulture. Studenti će se upoznati s fenomenima karakterističnima za kršćanstvo u ranom i visokom srednjem vijeku, te njihovom ulogom u formiranju europskih društava i mentaliteta. Pristup problemima bit će donekle kronološki, no s težištem na obradi odabranih problema. Kroz razradu odabranih tema studenti će se upoznati s razvojem kršćanstva u razdoblju između otprilike 800. i 1300. Temeljna je svrha kolegija upoznavanje povijesnih okolnosti, razumijevanje povijesnih procesa, te usvajanja terminologije kao nužnih preduvjeta za razumijevanje uloge kršćanstva u oblikovanju srednjovjekovne civilizacije. Smještanje kršćanstva prije svega kao kulturnog (društvenog, religijskog i intelektualnog) fenomena u kontekst europskih srednjovjekovnih društava, te njegova uloga u stvaranju srednjovjekovne Europe obraditi će se kroz razradu osnovnih tema: geografija srednjovjekovnog kršćanstva, pokrštavanje sjeverne i srednje Europe; oblikovanje latinskog kršćanstva i njegovi odnosi s bizantskim kršćanstvom, oblikovanje kršćanskog svjetonazora i njegova historiografija, biskupski ustroj i uloga papinstva na Zapadu, odnos Crkve i svjetovnih vlasti, redovništvo, liturgija i organizacija vremena, srednjovjekovna pobožnost, hagiografija i pučka religioznost, raznolikosti srednjovjekovnog kršćanstva (hereze, unutarnje podjele i odnos prema „drugima“).</w:t>
      </w:r>
    </w:p>
    <w:p w:rsidR="00B543DA" w:rsidRPr="00AC6ACC" w:rsidRDefault="00B543DA" w:rsidP="00F76447">
      <w:pPr>
        <w:ind w:right="-432"/>
        <w:jc w:val="both"/>
        <w:rPr>
          <w:b/>
          <w:bCs/>
          <w:sz w:val="22"/>
          <w:szCs w:val="22"/>
          <w:lang w:val="hr-HR"/>
        </w:rPr>
      </w:pPr>
      <w:r w:rsidRPr="00AC6ACC">
        <w:rPr>
          <w:b/>
          <w:bCs/>
          <w:sz w:val="22"/>
          <w:szCs w:val="22"/>
          <w:lang w:val="hr-HR"/>
        </w:rPr>
        <w:t>Razvijanje općih i specifičnih kompetencija (znanja i vještina)</w:t>
      </w:r>
    </w:p>
    <w:p w:rsidR="00B543DA" w:rsidRPr="00AC6ACC" w:rsidRDefault="00B543DA" w:rsidP="00796983">
      <w:pPr>
        <w:spacing w:after="120"/>
        <w:ind w:right="-431"/>
        <w:jc w:val="both"/>
        <w:rPr>
          <w:sz w:val="20"/>
          <w:szCs w:val="20"/>
          <w:lang w:val="hr-HR"/>
        </w:rPr>
      </w:pPr>
      <w:r w:rsidRPr="00AC6ACC">
        <w:rPr>
          <w:sz w:val="20"/>
          <w:szCs w:val="20"/>
          <w:lang w:val="hr-HR"/>
        </w:rPr>
        <w:t xml:space="preserve">Predmet će kroz obradu pojedinih tema studentima približiti bitne karakteristike srednjovjekovnog kršćanstva prvenstveno kroz upoznavanje njegovog svjetonazora, institucija, načina života i praksi. Osobit naglasak ponovo će biti stavljen na razumijevanje i usvajanje terminologije kao preduvjeta razumijevanja misaonog svijeta srednjovjekovlja. Slijed izlaganja na predavanjima pratiti će rad u seminaru kroz čitanje odabrane literature i ključnih izvora (npr. redovnička pravila, odluke koncila, hagiografija i sl.)  </w:t>
      </w:r>
    </w:p>
    <w:p w:rsidR="00B543DA" w:rsidRPr="00AC6ACC" w:rsidRDefault="00B543DA" w:rsidP="00F76447">
      <w:pPr>
        <w:ind w:right="-432"/>
        <w:jc w:val="both"/>
        <w:rPr>
          <w:b/>
          <w:bCs/>
          <w:sz w:val="22"/>
          <w:szCs w:val="22"/>
          <w:lang w:val="hr-HR"/>
        </w:rPr>
      </w:pPr>
      <w:r w:rsidRPr="00AC6ACC">
        <w:rPr>
          <w:b/>
          <w:bCs/>
          <w:sz w:val="22"/>
          <w:szCs w:val="22"/>
          <w:lang w:val="hr-HR"/>
        </w:rPr>
        <w:t>Oblici provođenja nastave, način polaganja ispita i provjere znanja</w:t>
      </w:r>
    </w:p>
    <w:p w:rsidR="00B543DA" w:rsidRPr="00AC6ACC" w:rsidRDefault="00B543DA" w:rsidP="00F76447">
      <w:pPr>
        <w:ind w:right="-432"/>
        <w:jc w:val="both"/>
        <w:rPr>
          <w:sz w:val="20"/>
          <w:szCs w:val="20"/>
          <w:lang w:val="hr-HR"/>
        </w:rPr>
      </w:pPr>
      <w:r w:rsidRPr="00AC6ACC">
        <w:rPr>
          <w:sz w:val="20"/>
          <w:szCs w:val="20"/>
          <w:lang w:val="hr-HR"/>
        </w:rPr>
        <w:t>Nastava će se odvijati u obliku predavanja i seminara. Na početku semestra provesti će se kratko anketiranje o interesu i usmjerenju studenata, te utvrditi stanje poznavanja osnovnih tema (npr. terminologije). Izlaganja će se prilagoditi razini znanja i potrebama studenata. Uz poticanje usmene komunikacije naglasak će biti stavljen na čitanje odabranih primjera iz recentne literature, te kritičku evaluaciju pročitanoga. Pratiti će se pojedinačni doprinos studenata u nastavi (sudjelovanje u raspravi, izlaganje, pismeni rad) koji će se uzeti u obzir pri donošenju konačne ocjene.</w:t>
      </w:r>
      <w:r w:rsidRPr="00AC6ACC">
        <w:rPr>
          <w:b/>
          <w:bCs/>
          <w:sz w:val="20"/>
          <w:szCs w:val="20"/>
          <w:lang w:val="hr-HR"/>
        </w:rPr>
        <w:t xml:space="preserve"> </w:t>
      </w:r>
      <w:r w:rsidRPr="00AC6ACC">
        <w:rPr>
          <w:sz w:val="20"/>
          <w:szCs w:val="20"/>
          <w:lang w:val="hr-HR"/>
        </w:rPr>
        <w:t>Završna ocjena donositi će se na temelju pojedinačnoga sudjelovanja u nastavi (nazočnost/aktivnost na seminaru 20%; usmeno izlaganje 10%; izrada bibliografije i pismenog rada 30%</w:t>
      </w:r>
      <w:r w:rsidRPr="00AC6ACC">
        <w:rPr>
          <w:rStyle w:val="Referencafusnote"/>
          <w:sz w:val="20"/>
          <w:szCs w:val="20"/>
          <w:lang w:val="hr-HR"/>
        </w:rPr>
        <w:footnoteReference w:id="1"/>
      </w:r>
      <w:r w:rsidRPr="00AC6ACC">
        <w:rPr>
          <w:sz w:val="20"/>
          <w:szCs w:val="20"/>
          <w:lang w:val="hr-HR"/>
        </w:rPr>
        <w:t>) te na temelju ocjene iz testa znanja (dva pismena tijekom semestra 40%) – uz mogućnost usmenog ispita koji će se provesti po završetku nastave.</w:t>
      </w:r>
    </w:p>
    <w:p w:rsidR="00B543DA" w:rsidRPr="00AC6ACC" w:rsidRDefault="007B7507" w:rsidP="00F76447">
      <w:pPr>
        <w:ind w:right="-432"/>
        <w:jc w:val="both"/>
        <w:rPr>
          <w:sz w:val="20"/>
          <w:szCs w:val="20"/>
          <w:lang w:val="hr-HR"/>
        </w:rPr>
      </w:pPr>
      <w:r w:rsidRPr="007B7507">
        <w:rPr>
          <w:lang w:val="hr-HR"/>
        </w:rPr>
        <w:pict>
          <v:shapetype id="_x0000_t202" coordsize="21600,21600" o:spt="202" path="m,l,21600r21600,l21600,xe">
            <v:stroke joinstyle="miter"/>
            <v:path gradientshapeok="t" o:connecttype="rect"/>
          </v:shapetype>
          <v:shape id="_x0000_s1026" type="#_x0000_t202" style="position:absolute;left:0;text-align:left;margin-left:-.5pt;margin-top:1.95pt;width:488.1pt;height:124.3pt;z-index:251658240" fillcolor="#d8d8d8" strokecolor="white">
            <v:textbox style="mso-next-textbox:#_x0000_s1026">
              <w:txbxContent>
                <w:p w:rsidR="00B543DA" w:rsidRPr="00AB1008" w:rsidRDefault="00B543DA" w:rsidP="00796983">
                  <w:pPr>
                    <w:pStyle w:val="StandardWeb"/>
                    <w:spacing w:before="0" w:beforeAutospacing="0" w:after="0" w:afterAutospacing="0"/>
                    <w:ind w:right="111"/>
                    <w:jc w:val="both"/>
                    <w:rPr>
                      <w:rFonts w:ascii="Times New Roman" w:hAnsi="Times New Roman" w:cs="Times New Roman"/>
                      <w:sz w:val="20"/>
                      <w:szCs w:val="20"/>
                      <w:lang w:val="hr-HR"/>
                    </w:rPr>
                  </w:pPr>
                  <w:r w:rsidRPr="00AB1008">
                    <w:rPr>
                      <w:rFonts w:ascii="Times New Roman" w:hAnsi="Times New Roman" w:cs="Times New Roman"/>
                      <w:b/>
                      <w:bCs/>
                      <w:sz w:val="20"/>
                      <w:szCs w:val="20"/>
                      <w:lang w:val="hr-HR"/>
                    </w:rPr>
                    <w:t xml:space="preserve">Studentske obveze: </w:t>
                  </w:r>
                  <w:r w:rsidRPr="00AB1008">
                    <w:rPr>
                      <w:rFonts w:ascii="Times New Roman" w:hAnsi="Times New Roman" w:cs="Times New Roman"/>
                      <w:sz w:val="20"/>
                      <w:szCs w:val="20"/>
                      <w:lang w:val="hr-HR"/>
                    </w:rPr>
                    <w:t>Nazočnost n</w:t>
                  </w:r>
                  <w:r w:rsidR="00C61D4B">
                    <w:rPr>
                      <w:rFonts w:ascii="Times New Roman" w:hAnsi="Times New Roman" w:cs="Times New Roman"/>
                      <w:sz w:val="20"/>
                      <w:szCs w:val="20"/>
                      <w:lang w:val="hr-HR"/>
                    </w:rPr>
                    <w:t>a predavanjima (dopuštena su 2-3</w:t>
                  </w:r>
                  <w:r w:rsidRPr="00AB1008">
                    <w:rPr>
                      <w:rFonts w:ascii="Times New Roman" w:hAnsi="Times New Roman" w:cs="Times New Roman"/>
                      <w:sz w:val="20"/>
                      <w:szCs w:val="20"/>
                      <w:lang w:val="hr-HR"/>
                    </w:rPr>
                    <w:t xml:space="preserve"> izostanka tijekom semestra), čitanje zadane literature (</w:t>
                  </w:r>
                  <w:r w:rsidR="00AF2562">
                    <w:rPr>
                      <w:rFonts w:ascii="Times New Roman" w:hAnsi="Times New Roman" w:cs="Times New Roman"/>
                      <w:sz w:val="20"/>
                      <w:szCs w:val="20"/>
                      <w:lang w:val="hr-HR"/>
                    </w:rPr>
                    <w:t>1-</w:t>
                  </w:r>
                  <w:r w:rsidRPr="00AB1008">
                    <w:rPr>
                      <w:rFonts w:ascii="Times New Roman" w:hAnsi="Times New Roman" w:cs="Times New Roman"/>
                      <w:sz w:val="20"/>
                      <w:szCs w:val="20"/>
                      <w:lang w:val="hr-HR"/>
                    </w:rPr>
                    <w:t>2 naslova tjedno), aktivno sudjelovanje u seminarskom dijelu nastave (rasprava, predstavljanje zadane teme u obliku usmenog izlaganja), ispunjavanje pisanih zadataka (</w:t>
                  </w:r>
                  <w:r w:rsidR="00AF2562">
                    <w:rPr>
                      <w:rFonts w:ascii="Times New Roman" w:hAnsi="Times New Roman" w:cs="Times New Roman"/>
                      <w:sz w:val="20"/>
                      <w:szCs w:val="20"/>
                      <w:lang w:val="hr-HR"/>
                    </w:rPr>
                    <w:t xml:space="preserve">2 </w:t>
                  </w:r>
                  <w:r w:rsidRPr="00AB1008">
                    <w:rPr>
                      <w:rFonts w:ascii="Times New Roman" w:hAnsi="Times New Roman" w:cs="Times New Roman"/>
                      <w:sz w:val="20"/>
                      <w:szCs w:val="20"/>
                      <w:lang w:val="hr-HR"/>
                    </w:rPr>
                    <w:t>po</w:t>
                  </w:r>
                  <w:r w:rsidR="00AF2562">
                    <w:rPr>
                      <w:rFonts w:ascii="Times New Roman" w:hAnsi="Times New Roman" w:cs="Times New Roman"/>
                      <w:sz w:val="20"/>
                      <w:szCs w:val="20"/>
                      <w:lang w:val="hr-HR"/>
                    </w:rPr>
                    <w:t>la</w:t>
                  </w:r>
                  <w:r w:rsidRPr="00AB1008">
                    <w:rPr>
                      <w:rFonts w:ascii="Times New Roman" w:hAnsi="Times New Roman" w:cs="Times New Roman"/>
                      <w:sz w:val="20"/>
                      <w:szCs w:val="20"/>
                      <w:lang w:val="hr-HR"/>
                    </w:rPr>
                    <w:t>-semestraln</w:t>
                  </w:r>
                  <w:r w:rsidR="00AF2562">
                    <w:rPr>
                      <w:rFonts w:ascii="Times New Roman" w:hAnsi="Times New Roman" w:cs="Times New Roman"/>
                      <w:sz w:val="20"/>
                      <w:szCs w:val="20"/>
                      <w:lang w:val="hr-HR"/>
                    </w:rPr>
                    <w:t>a</w:t>
                  </w:r>
                  <w:r w:rsidRPr="00AB1008">
                    <w:rPr>
                      <w:rFonts w:ascii="Times New Roman" w:hAnsi="Times New Roman" w:cs="Times New Roman"/>
                      <w:sz w:val="20"/>
                      <w:szCs w:val="20"/>
                      <w:lang w:val="hr-HR"/>
                    </w:rPr>
                    <w:t xml:space="preserve"> kolokvija ili tjednih eseja i završnog seminarskog rada) te</w:t>
                  </w:r>
                  <w:r w:rsidR="00AF2562">
                    <w:rPr>
                      <w:rFonts w:ascii="Times New Roman" w:hAnsi="Times New Roman" w:cs="Times New Roman"/>
                      <w:sz w:val="20"/>
                      <w:szCs w:val="20"/>
                      <w:lang w:val="hr-HR"/>
                    </w:rPr>
                    <w:t>, prema potrebi,</w:t>
                  </w:r>
                  <w:r w:rsidRPr="00AB1008">
                    <w:rPr>
                      <w:rFonts w:ascii="Times New Roman" w:hAnsi="Times New Roman" w:cs="Times New Roman"/>
                      <w:sz w:val="20"/>
                      <w:szCs w:val="20"/>
                      <w:lang w:val="hr-HR"/>
                    </w:rPr>
                    <w:t xml:space="preserve"> polaganje završnog ispita. Ispunjenje obveza podrazumijeva temelj</w:t>
                  </w:r>
                  <w:r w:rsidR="00AF2562">
                    <w:rPr>
                      <w:rFonts w:ascii="Times New Roman" w:hAnsi="Times New Roman" w:cs="Times New Roman"/>
                      <w:sz w:val="20"/>
                      <w:szCs w:val="20"/>
                      <w:lang w:val="hr-HR"/>
                    </w:rPr>
                    <w:t>no</w:t>
                  </w:r>
                  <w:r w:rsidRPr="00AB1008">
                    <w:rPr>
                      <w:rFonts w:ascii="Times New Roman" w:hAnsi="Times New Roman" w:cs="Times New Roman"/>
                      <w:sz w:val="20"/>
                      <w:szCs w:val="20"/>
                      <w:lang w:val="hr-HR"/>
                    </w:rPr>
                    <w:t xml:space="preserve"> poznavanje obrađenih predmetnih sadržaja, sposobnost kritičkog tumačenja obvezatne literature, te poznavanje odabranih naslova iz izborne </w:t>
                  </w:r>
                  <w:r w:rsidR="00AF2562">
                    <w:rPr>
                      <w:rFonts w:ascii="Times New Roman" w:hAnsi="Times New Roman" w:cs="Times New Roman"/>
                      <w:sz w:val="20"/>
                      <w:szCs w:val="20"/>
                      <w:lang w:val="hr-HR"/>
                    </w:rPr>
                    <w:t>literature. P</w:t>
                  </w:r>
                  <w:r w:rsidRPr="00AB1008">
                    <w:rPr>
                      <w:rFonts w:ascii="Times New Roman" w:hAnsi="Times New Roman" w:cs="Times New Roman"/>
                      <w:sz w:val="20"/>
                      <w:szCs w:val="20"/>
                      <w:lang w:val="hr-HR"/>
                    </w:rPr>
                    <w:t xml:space="preserve">redviđena je </w:t>
                  </w:r>
                  <w:r w:rsidR="00AF2562">
                    <w:rPr>
                      <w:rFonts w:ascii="Times New Roman" w:hAnsi="Times New Roman" w:cs="Times New Roman"/>
                      <w:sz w:val="20"/>
                      <w:szCs w:val="20"/>
                      <w:lang w:val="hr-HR"/>
                    </w:rPr>
                    <w:t>obilata dodatna literatura</w:t>
                  </w:r>
                  <w:r w:rsidR="00AF2562" w:rsidRPr="00AB1008">
                    <w:rPr>
                      <w:rFonts w:ascii="Times New Roman" w:hAnsi="Times New Roman" w:cs="Times New Roman"/>
                      <w:sz w:val="20"/>
                      <w:szCs w:val="20"/>
                      <w:lang w:val="hr-HR"/>
                    </w:rPr>
                    <w:t xml:space="preserve"> </w:t>
                  </w:r>
                  <w:r w:rsidRPr="00AB1008">
                    <w:rPr>
                      <w:rFonts w:ascii="Times New Roman" w:hAnsi="Times New Roman" w:cs="Times New Roman"/>
                      <w:sz w:val="20"/>
                      <w:szCs w:val="20"/>
                      <w:lang w:val="hr-HR"/>
                    </w:rPr>
                    <w:t>kao pomoć zainteresiranim studentima u temeljitijem upoznavanju odabrane  problematike.</w:t>
                  </w:r>
                </w:p>
                <w:p w:rsidR="00B543DA" w:rsidRPr="00AB1008" w:rsidRDefault="00B543DA" w:rsidP="00796983">
                  <w:pPr>
                    <w:pStyle w:val="StandardWeb"/>
                    <w:spacing w:before="0" w:beforeAutospacing="0" w:after="0" w:afterAutospacing="0"/>
                    <w:ind w:left="142" w:right="111"/>
                    <w:jc w:val="both"/>
                    <w:rPr>
                      <w:rFonts w:ascii="Times New Roman" w:hAnsi="Times New Roman" w:cs="Times New Roman"/>
                      <w:sz w:val="20"/>
                      <w:szCs w:val="20"/>
                      <w:lang w:val="hr-HR"/>
                    </w:rPr>
                  </w:pPr>
                  <w:r w:rsidRPr="00AB1008">
                    <w:rPr>
                      <w:rFonts w:ascii="Times New Roman" w:hAnsi="Times New Roman" w:cs="Times New Roman"/>
                      <w:sz w:val="20"/>
                      <w:szCs w:val="20"/>
                      <w:lang w:val="hr-HR"/>
                    </w:rPr>
                    <w:t>*** U slučaju neispunjavanja neke od navedenih obveza polazniku neće biti dopušteno polaganje za</w:t>
                  </w:r>
                  <w:r w:rsidR="00AF2562">
                    <w:rPr>
                      <w:rFonts w:ascii="Times New Roman" w:hAnsi="Times New Roman" w:cs="Times New Roman"/>
                      <w:sz w:val="20"/>
                      <w:szCs w:val="20"/>
                      <w:lang w:val="hr-HR"/>
                    </w:rPr>
                    <w:t>vršnog ispita ni</w:t>
                  </w:r>
                  <w:r w:rsidRPr="00AB1008">
                    <w:rPr>
                      <w:rFonts w:ascii="Times New Roman" w:hAnsi="Times New Roman" w:cs="Times New Roman"/>
                      <w:sz w:val="20"/>
                      <w:szCs w:val="20"/>
                      <w:lang w:val="hr-HR"/>
                    </w:rPr>
                    <w:t xml:space="preserve"> zaključivanje ocjene. Teški slučajevi plagiranja kod pismenih zadataka kaznit će se isključivanjem polaznika iz nastave. </w:t>
                  </w:r>
                </w:p>
                <w:p w:rsidR="00B543DA" w:rsidRPr="00AB1008" w:rsidRDefault="00B543DA" w:rsidP="00796983">
                  <w:pPr>
                    <w:ind w:right="111"/>
                    <w:rPr>
                      <w:sz w:val="20"/>
                      <w:szCs w:val="20"/>
                      <w:lang w:val="hr-HR"/>
                    </w:rPr>
                  </w:pPr>
                </w:p>
              </w:txbxContent>
            </v:textbox>
          </v:shape>
        </w:pict>
      </w:r>
    </w:p>
    <w:p w:rsidR="00B543DA" w:rsidRPr="00AC6ACC" w:rsidRDefault="00B543DA" w:rsidP="00F76447">
      <w:pPr>
        <w:ind w:right="-432"/>
        <w:jc w:val="both"/>
        <w:rPr>
          <w:sz w:val="20"/>
          <w:szCs w:val="20"/>
          <w:lang w:val="hr-HR"/>
        </w:rPr>
      </w:pPr>
    </w:p>
    <w:p w:rsidR="00B543DA" w:rsidRPr="00AC6ACC" w:rsidRDefault="00B543DA" w:rsidP="00F76447">
      <w:pPr>
        <w:ind w:right="-432"/>
        <w:jc w:val="both"/>
        <w:rPr>
          <w:b/>
          <w:bCs/>
          <w:sz w:val="20"/>
          <w:szCs w:val="20"/>
          <w:lang w:val="hr-HR"/>
        </w:rPr>
      </w:pPr>
    </w:p>
    <w:p w:rsidR="00B543DA" w:rsidRPr="00AC6ACC" w:rsidRDefault="00B543DA" w:rsidP="00F76447">
      <w:pPr>
        <w:ind w:right="-432"/>
        <w:jc w:val="both"/>
        <w:rPr>
          <w:lang w:val="hr-HR"/>
        </w:rPr>
      </w:pPr>
    </w:p>
    <w:p w:rsidR="00B543DA" w:rsidRPr="00AC6ACC" w:rsidRDefault="00B543DA" w:rsidP="00F76447">
      <w:pPr>
        <w:ind w:right="-432"/>
        <w:jc w:val="both"/>
        <w:rPr>
          <w:b/>
          <w:bCs/>
          <w:i/>
          <w:iCs/>
          <w:lang w:val="hr-HR"/>
        </w:rPr>
      </w:pPr>
    </w:p>
    <w:p w:rsidR="00B543DA" w:rsidRPr="00AC6ACC" w:rsidRDefault="00B543DA" w:rsidP="00F76447">
      <w:pPr>
        <w:ind w:right="-432"/>
        <w:jc w:val="both"/>
        <w:rPr>
          <w:b/>
          <w:bCs/>
          <w:i/>
          <w:iCs/>
          <w:lang w:val="hr-HR"/>
        </w:rPr>
      </w:pPr>
    </w:p>
    <w:p w:rsidR="00B543DA" w:rsidRPr="00AC6ACC" w:rsidRDefault="00B543DA" w:rsidP="00F76447">
      <w:pPr>
        <w:ind w:right="-432"/>
        <w:jc w:val="both"/>
        <w:rPr>
          <w:b/>
          <w:bCs/>
          <w:i/>
          <w:iCs/>
          <w:lang w:val="hr-HR"/>
        </w:rPr>
      </w:pPr>
    </w:p>
    <w:p w:rsidR="00B543DA" w:rsidRDefault="00B543DA" w:rsidP="007131D3">
      <w:pPr>
        <w:spacing w:after="120"/>
        <w:jc w:val="both"/>
        <w:rPr>
          <w:lang w:val="hr-HR"/>
        </w:rPr>
      </w:pPr>
      <w:r w:rsidRPr="00AC6ACC">
        <w:rPr>
          <w:b/>
          <w:bCs/>
          <w:sz w:val="22"/>
          <w:szCs w:val="22"/>
          <w:u w:val="single"/>
          <w:lang w:val="hr-HR"/>
        </w:rPr>
        <w:br w:type="page"/>
      </w:r>
      <w:r w:rsidRPr="00AC6ACC">
        <w:rPr>
          <w:b/>
          <w:bCs/>
          <w:lang w:val="hr-HR"/>
        </w:rPr>
        <w:lastRenderedPageBreak/>
        <w:t>2. Tjedni</w:t>
      </w:r>
      <w:r w:rsidR="00C61D4B">
        <w:rPr>
          <w:b/>
          <w:bCs/>
          <w:lang w:val="hr-HR"/>
        </w:rPr>
        <w:t xml:space="preserve"> raspored – zimski semestar 2014/2015</w:t>
      </w:r>
      <w:r w:rsidRPr="00AC6ACC">
        <w:rPr>
          <w:b/>
          <w:bCs/>
          <w:lang w:val="hr-HR"/>
        </w:rPr>
        <w:t>.</w:t>
      </w:r>
    </w:p>
    <w:p w:rsidR="00C61D4B" w:rsidRPr="00AC6ACC" w:rsidRDefault="00C61D4B" w:rsidP="007131D3">
      <w:pPr>
        <w:spacing w:after="120"/>
        <w:jc w:val="both"/>
        <w:rPr>
          <w:b/>
          <w:bCs/>
          <w:u w:val="single"/>
          <w:lang w:val="hr-HR"/>
        </w:rPr>
      </w:pPr>
      <w:r>
        <w:rPr>
          <w:sz w:val="18"/>
          <w:szCs w:val="18"/>
          <w:lang w:val="hr-HR"/>
        </w:rPr>
        <w:t>(</w:t>
      </w:r>
      <w:r w:rsidRPr="00AB1008">
        <w:rPr>
          <w:sz w:val="18"/>
          <w:szCs w:val="18"/>
          <w:lang w:val="hr-HR"/>
        </w:rPr>
        <w:t>Predavač zadržava pravo izmjene glavnih tema, kao i bilo kojeg dijela kolegija utvrđenog ovim dokumentom</w:t>
      </w:r>
      <w:r>
        <w:rPr>
          <w:sz w:val="18"/>
          <w:szCs w:val="18"/>
          <w:lang w:val="hr-HR"/>
        </w:rPr>
        <w:t>).</w:t>
      </w:r>
    </w:p>
    <w:p w:rsidR="00B543DA" w:rsidRPr="00AC6ACC" w:rsidRDefault="00AB1008" w:rsidP="007131D3">
      <w:pPr>
        <w:pStyle w:val="HTMLunaprijedoblikovano"/>
        <w:spacing w:after="120"/>
        <w:ind w:left="284" w:right="284"/>
        <w:jc w:val="both"/>
        <w:rPr>
          <w:rFonts w:ascii="Times New Roman" w:hAnsi="Times New Roman" w:cs="Times New Roman"/>
          <w:b/>
          <w:bCs/>
        </w:rPr>
      </w:pPr>
      <w:r>
        <w:rPr>
          <w:rFonts w:ascii="Times New Roman" w:hAnsi="Times New Roman" w:cs="Times New Roman"/>
          <w:b/>
          <w:bCs/>
        </w:rPr>
        <w:t>14</w:t>
      </w:r>
      <w:r w:rsidR="00C61D4B">
        <w:rPr>
          <w:rFonts w:ascii="Times New Roman" w:hAnsi="Times New Roman" w:cs="Times New Roman"/>
          <w:b/>
          <w:bCs/>
        </w:rPr>
        <w:t>.10. P</w:t>
      </w:r>
      <w:r w:rsidR="00B543DA" w:rsidRPr="00AC6ACC">
        <w:rPr>
          <w:rFonts w:ascii="Times New Roman" w:hAnsi="Times New Roman" w:cs="Times New Roman"/>
          <w:b/>
          <w:bCs/>
        </w:rPr>
        <w:t>redstavljanje kolegija i dogovor</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21</w:t>
      </w:r>
      <w:r w:rsidR="00B543DA" w:rsidRPr="00AC6ACC">
        <w:rPr>
          <w:rFonts w:ascii="Times New Roman" w:hAnsi="Times New Roman" w:cs="Times New Roman"/>
          <w:b/>
          <w:bCs/>
        </w:rPr>
        <w:t>.10. Doba vjere? Sadržaj, pristup i geografija „kršćanske Europe“ u srednjem vijeku</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Što je „srednjovjekovno kršćanstvo“</w:t>
      </w:r>
      <w:r w:rsidR="00615E32">
        <w:rPr>
          <w:rFonts w:ascii="Times New Roman" w:hAnsi="Times New Roman" w:cs="Times New Roman"/>
        </w:rPr>
        <w:t>?, historiografija, pristupi i problemi</w:t>
      </w:r>
      <w:r w:rsidRPr="00AC6ACC">
        <w:rPr>
          <w:rFonts w:ascii="Times New Roman" w:hAnsi="Times New Roman" w:cs="Times New Roman"/>
        </w:rPr>
        <w:t xml:space="preserve"> </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28</w:t>
      </w:r>
      <w:r w:rsidR="00B543DA" w:rsidRPr="00AC6ACC">
        <w:rPr>
          <w:rFonts w:ascii="Times New Roman" w:hAnsi="Times New Roman" w:cs="Times New Roman"/>
          <w:b/>
          <w:bCs/>
        </w:rPr>
        <w:t>.10. Obno</w:t>
      </w:r>
      <w:r w:rsidR="00615E32">
        <w:rPr>
          <w:rFonts w:ascii="Times New Roman" w:hAnsi="Times New Roman" w:cs="Times New Roman"/>
          <w:b/>
          <w:bCs/>
        </w:rPr>
        <w:t>va kršćanskog Carstva na zapadu</w:t>
      </w:r>
      <w:r w:rsidR="00B543DA" w:rsidRPr="00AC6ACC">
        <w:rPr>
          <w:rFonts w:ascii="Times New Roman" w:hAnsi="Times New Roman" w:cs="Times New Roman"/>
          <w:b/>
          <w:bCs/>
        </w:rPr>
        <w:t xml:space="preserve"> </w:t>
      </w:r>
    </w:p>
    <w:p w:rsidR="00B543DA" w:rsidRPr="00AC6ACC" w:rsidRDefault="00B543DA" w:rsidP="007131D3">
      <w:pPr>
        <w:pStyle w:val="HTMLunaprijedoblikovano"/>
        <w:spacing w:after="120"/>
        <w:ind w:left="284" w:right="284"/>
        <w:jc w:val="both"/>
        <w:rPr>
          <w:rFonts w:ascii="Times New Roman" w:hAnsi="Times New Roman" w:cs="Times New Roman"/>
          <w:b/>
          <w:bCs/>
        </w:rPr>
      </w:pPr>
      <w:r w:rsidRPr="00AC6ACC">
        <w:rPr>
          <w:rFonts w:ascii="Times New Roman" w:hAnsi="Times New Roman" w:cs="Times New Roman"/>
        </w:rPr>
        <w:t xml:space="preserve">Rim i Carigrad, aspekti karolinške renesanse i razvoj bizantskog kršćanstva, uloga Crkve i kršćanstva u oblikovanju ranosrednjovjekovnih država (rimska aristokracija, biskupi, kontinuitet), Karolinška renesansa i njena ideologija </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4</w:t>
      </w:r>
      <w:r w:rsidR="00B543DA" w:rsidRPr="00AC6ACC">
        <w:rPr>
          <w:rFonts w:ascii="Times New Roman" w:hAnsi="Times New Roman" w:cs="Times New Roman"/>
          <w:b/>
          <w:bCs/>
        </w:rPr>
        <w:t>.11. Pokršta</w:t>
      </w:r>
      <w:r w:rsidR="00615E32">
        <w:rPr>
          <w:rFonts w:ascii="Times New Roman" w:hAnsi="Times New Roman" w:cs="Times New Roman"/>
          <w:b/>
          <w:bCs/>
        </w:rPr>
        <w:t>vanje sjeverne i srednje Europe</w:t>
      </w:r>
      <w:r w:rsidR="00B543DA" w:rsidRPr="00AC6ACC">
        <w:rPr>
          <w:rFonts w:ascii="Times New Roman" w:hAnsi="Times New Roman" w:cs="Times New Roman"/>
          <w:b/>
          <w:bCs/>
        </w:rPr>
        <w:t xml:space="preserve"> </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Germansko kršćanstvo, Britanska misija, Pokrštavanje Srednjoistočne Europe, Što je pokrštavanje, a što obraćenje? Kristijanizacija i oblikovanje srednjovjekovnih država (Moravs</w:t>
      </w:r>
      <w:r w:rsidR="00AB1008">
        <w:rPr>
          <w:rFonts w:ascii="Times New Roman" w:hAnsi="Times New Roman" w:cs="Times New Roman"/>
        </w:rPr>
        <w:t>ka, Bugarska, Hrvatska</w:t>
      </w:r>
      <w:r w:rsidRPr="00AC6ACC">
        <w:rPr>
          <w:rFonts w:ascii="Times New Roman" w:hAnsi="Times New Roman" w:cs="Times New Roman"/>
        </w:rPr>
        <w:t>)</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11</w:t>
      </w:r>
      <w:r w:rsidR="00B543DA" w:rsidRPr="00AC6ACC">
        <w:rPr>
          <w:rFonts w:ascii="Times New Roman" w:hAnsi="Times New Roman" w:cs="Times New Roman"/>
          <w:b/>
          <w:bCs/>
        </w:rPr>
        <w:t xml:space="preserve">.11. Rane redovničke obnove </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 xml:space="preserve">Heterogenost ranosrednjovjekovnog redovništva, Benedikt </w:t>
      </w:r>
      <w:proofErr w:type="spellStart"/>
      <w:r w:rsidRPr="00AC6ACC">
        <w:rPr>
          <w:rFonts w:ascii="Times New Roman" w:hAnsi="Times New Roman" w:cs="Times New Roman"/>
        </w:rPr>
        <w:t>Anijanski</w:t>
      </w:r>
      <w:proofErr w:type="spellEnd"/>
      <w:r w:rsidRPr="00AC6ACC">
        <w:rPr>
          <w:rFonts w:ascii="Times New Roman" w:hAnsi="Times New Roman" w:cs="Times New Roman"/>
        </w:rPr>
        <w:t xml:space="preserve"> i karolinška reforma, </w:t>
      </w:r>
      <w:proofErr w:type="spellStart"/>
      <w:r w:rsidRPr="00AC6ACC">
        <w:rPr>
          <w:rFonts w:ascii="Times New Roman" w:hAnsi="Times New Roman" w:cs="Times New Roman"/>
        </w:rPr>
        <w:t>Cluny</w:t>
      </w:r>
      <w:proofErr w:type="spellEnd"/>
      <w:r w:rsidRPr="00AC6ACC">
        <w:rPr>
          <w:rFonts w:ascii="Times New Roman" w:hAnsi="Times New Roman" w:cs="Times New Roman"/>
        </w:rPr>
        <w:t xml:space="preserve">, </w:t>
      </w:r>
      <w:proofErr w:type="spellStart"/>
      <w:r w:rsidRPr="00AC6ACC">
        <w:rPr>
          <w:rFonts w:ascii="Times New Roman" w:hAnsi="Times New Roman" w:cs="Times New Roman"/>
        </w:rPr>
        <w:t>Citeaux</w:t>
      </w:r>
      <w:proofErr w:type="spellEnd"/>
      <w:r w:rsidRPr="00AC6ACC">
        <w:rPr>
          <w:rFonts w:ascii="Times New Roman" w:hAnsi="Times New Roman" w:cs="Times New Roman"/>
        </w:rPr>
        <w:t xml:space="preserve">, </w:t>
      </w:r>
      <w:proofErr w:type="spellStart"/>
      <w:r w:rsidRPr="00AC6ACC">
        <w:rPr>
          <w:rFonts w:ascii="Times New Roman" w:hAnsi="Times New Roman" w:cs="Times New Roman"/>
        </w:rPr>
        <w:t>Chatreuse</w:t>
      </w:r>
      <w:proofErr w:type="spellEnd"/>
      <w:r w:rsidRPr="00AC6ACC">
        <w:rPr>
          <w:rFonts w:ascii="Times New Roman" w:hAnsi="Times New Roman" w:cs="Times New Roman"/>
        </w:rPr>
        <w:t xml:space="preserve">, temelji svjetonazora i oblici redovničkog života, rasprostranjenost redovničkih zajednica </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18</w:t>
      </w:r>
      <w:r w:rsidR="00B543DA" w:rsidRPr="00AC6ACC">
        <w:rPr>
          <w:rFonts w:ascii="Times New Roman" w:hAnsi="Times New Roman" w:cs="Times New Roman"/>
          <w:b/>
          <w:bCs/>
        </w:rPr>
        <w:t>.11. Srednjovjekovna liturgija: raznolikosti, oblici i značenje</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Podrijetlo liturgijskih tradicija u kasnoj antici, oblici liturgije u srednjem vijeku, liturgijske knjige, liturgija i oblikovanje svakodnevnog života</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25</w:t>
      </w:r>
      <w:r w:rsidR="00B543DA" w:rsidRPr="00AC6ACC">
        <w:rPr>
          <w:rFonts w:ascii="Times New Roman" w:hAnsi="Times New Roman" w:cs="Times New Roman"/>
          <w:b/>
          <w:bCs/>
        </w:rPr>
        <w:t xml:space="preserve">.11. Pape, biskupi i vladari </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 xml:space="preserve">Razvoj monarhijskog ustroja Crkve, crkvena geografija, pitanje rimskog primata i odnos Crkve prema svjetovnim vlastima, </w:t>
      </w:r>
      <w:proofErr w:type="spellStart"/>
      <w:r w:rsidRPr="00AC6ACC">
        <w:rPr>
          <w:rFonts w:ascii="Times New Roman" w:hAnsi="Times New Roman" w:cs="Times New Roman"/>
        </w:rPr>
        <w:t>tzv</w:t>
      </w:r>
      <w:proofErr w:type="spellEnd"/>
      <w:r w:rsidRPr="00AC6ACC">
        <w:rPr>
          <w:rFonts w:ascii="Times New Roman" w:hAnsi="Times New Roman" w:cs="Times New Roman"/>
        </w:rPr>
        <w:t>. „</w:t>
      </w:r>
      <w:proofErr w:type="spellStart"/>
      <w:r w:rsidRPr="00AC6ACC">
        <w:rPr>
          <w:rFonts w:ascii="Times New Roman" w:hAnsi="Times New Roman" w:cs="Times New Roman"/>
        </w:rPr>
        <w:t>Grgurovska</w:t>
      </w:r>
      <w:proofErr w:type="spellEnd"/>
      <w:r w:rsidRPr="00AC6ACC">
        <w:rPr>
          <w:rFonts w:ascii="Times New Roman" w:hAnsi="Times New Roman" w:cs="Times New Roman"/>
        </w:rPr>
        <w:t xml:space="preserve"> reforma“ i njene posljedice</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2</w:t>
      </w:r>
      <w:r w:rsidR="00B543DA" w:rsidRPr="00AC6ACC">
        <w:rPr>
          <w:rFonts w:ascii="Times New Roman" w:hAnsi="Times New Roman" w:cs="Times New Roman"/>
          <w:b/>
          <w:bCs/>
        </w:rPr>
        <w:t xml:space="preserve">.12. Gradsko kršćanstvo: „renesansa 12. st.“ i njene posljedice </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Nastanak sveučilišta, pojava prosjačkih redova, razvoj teologije i novi oblici pobožnosti, utjecaj pismenosti na nastanak hereza</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9</w:t>
      </w:r>
      <w:r w:rsidR="00B543DA" w:rsidRPr="00AC6ACC">
        <w:rPr>
          <w:rFonts w:ascii="Times New Roman" w:hAnsi="Times New Roman" w:cs="Times New Roman"/>
          <w:b/>
          <w:bCs/>
        </w:rPr>
        <w:t>.12. Srednjovjekovni svjetonazor</w:t>
      </w:r>
      <w:r>
        <w:rPr>
          <w:rFonts w:ascii="Times New Roman" w:hAnsi="Times New Roman" w:cs="Times New Roman"/>
          <w:b/>
          <w:bCs/>
        </w:rPr>
        <w:t xml:space="preserve"> i</w:t>
      </w:r>
      <w:r w:rsidR="00B543DA" w:rsidRPr="00AC6ACC">
        <w:rPr>
          <w:rFonts w:ascii="Times New Roman" w:hAnsi="Times New Roman" w:cs="Times New Roman"/>
          <w:b/>
          <w:bCs/>
        </w:rPr>
        <w:t xml:space="preserve"> smisao povijesti</w:t>
      </w:r>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 xml:space="preserve">Razvoj kršćanske historiografije, teologija povijesti i shvaćanje vremena, oblici pisanja povijesti, značajke srednjovjekovne historiografije </w:t>
      </w:r>
    </w:p>
    <w:p w:rsidR="00B543DA" w:rsidRPr="00AC6ACC" w:rsidRDefault="00AB1008" w:rsidP="007131D3">
      <w:pPr>
        <w:pStyle w:val="HTMLunaprijedoblikovano"/>
        <w:ind w:left="284" w:right="284"/>
        <w:jc w:val="both"/>
        <w:rPr>
          <w:rFonts w:ascii="Times New Roman" w:hAnsi="Times New Roman" w:cs="Times New Roman"/>
        </w:rPr>
      </w:pPr>
      <w:r>
        <w:rPr>
          <w:rFonts w:ascii="Times New Roman" w:hAnsi="Times New Roman" w:cs="Times New Roman"/>
          <w:b/>
          <w:bCs/>
        </w:rPr>
        <w:t>16</w:t>
      </w:r>
      <w:r w:rsidR="00B543DA" w:rsidRPr="00AC6ACC">
        <w:rPr>
          <w:rFonts w:ascii="Times New Roman" w:hAnsi="Times New Roman" w:cs="Times New Roman"/>
          <w:b/>
          <w:bCs/>
        </w:rPr>
        <w:t>.12. Srednjovjekovna svakodnevica: pučko kršćanstvo i životni svjetonazor</w:t>
      </w:r>
    </w:p>
    <w:p w:rsidR="00B543DA" w:rsidRPr="00AC6ACC" w:rsidRDefault="00B543DA" w:rsidP="007131D3">
      <w:pPr>
        <w:pStyle w:val="HTMLunaprijedoblikovano"/>
        <w:ind w:left="284" w:right="284"/>
        <w:jc w:val="both"/>
        <w:rPr>
          <w:rFonts w:ascii="Times New Roman" w:hAnsi="Times New Roman" w:cs="Times New Roman"/>
        </w:rPr>
      </w:pPr>
      <w:r w:rsidRPr="00AC6ACC">
        <w:rPr>
          <w:rFonts w:ascii="Times New Roman" w:hAnsi="Times New Roman" w:cs="Times New Roman"/>
        </w:rPr>
        <w:t>Oblici pobožnosti, pučka religioznost, kult svetaca</w:t>
      </w:r>
    </w:p>
    <w:p w:rsidR="00B543DA" w:rsidRPr="00AC6ACC" w:rsidRDefault="00AB1008" w:rsidP="007131D3">
      <w:pPr>
        <w:pStyle w:val="HTMLunaprijedoblikovano"/>
        <w:spacing w:before="120"/>
        <w:ind w:left="284" w:right="284"/>
        <w:jc w:val="both"/>
        <w:rPr>
          <w:rFonts w:ascii="Times New Roman" w:hAnsi="Times New Roman" w:cs="Times New Roman"/>
          <w:b/>
          <w:bCs/>
        </w:rPr>
      </w:pPr>
      <w:r>
        <w:rPr>
          <w:rFonts w:ascii="Times New Roman" w:hAnsi="Times New Roman" w:cs="Times New Roman"/>
          <w:b/>
          <w:bCs/>
        </w:rPr>
        <w:t>23</w:t>
      </w:r>
      <w:r w:rsidR="00B543DA" w:rsidRPr="00AC6ACC">
        <w:rPr>
          <w:rFonts w:ascii="Times New Roman" w:hAnsi="Times New Roman" w:cs="Times New Roman"/>
          <w:b/>
          <w:bCs/>
        </w:rPr>
        <w:t xml:space="preserve">.12. Hagiografija i </w:t>
      </w:r>
      <w:proofErr w:type="spellStart"/>
      <w:r w:rsidR="00B543DA" w:rsidRPr="00AC6ACC">
        <w:rPr>
          <w:rFonts w:ascii="Times New Roman" w:hAnsi="Times New Roman" w:cs="Times New Roman"/>
          <w:b/>
          <w:bCs/>
        </w:rPr>
        <w:t>svetaštvo</w:t>
      </w:r>
      <w:proofErr w:type="spellEnd"/>
    </w:p>
    <w:p w:rsidR="00B543DA" w:rsidRPr="00AC6ACC" w:rsidRDefault="00B543DA" w:rsidP="007131D3">
      <w:pPr>
        <w:pStyle w:val="HTMLunaprijedoblikovano"/>
        <w:spacing w:after="120"/>
        <w:ind w:left="284" w:right="284"/>
        <w:jc w:val="both"/>
        <w:rPr>
          <w:rFonts w:ascii="Times New Roman" w:hAnsi="Times New Roman" w:cs="Times New Roman"/>
          <w:b/>
          <w:bCs/>
        </w:rPr>
      </w:pPr>
      <w:r w:rsidRPr="00AC6ACC">
        <w:rPr>
          <w:rFonts w:ascii="Times New Roman" w:hAnsi="Times New Roman" w:cs="Times New Roman"/>
        </w:rPr>
        <w:t xml:space="preserve">Temeljni oblici srednjovjekovne hagiografije, živući sveci i mistici, </w:t>
      </w:r>
      <w:r w:rsidR="00AB1008">
        <w:rPr>
          <w:rFonts w:ascii="Times New Roman" w:hAnsi="Times New Roman" w:cs="Times New Roman"/>
        </w:rPr>
        <w:t xml:space="preserve">razvoj procesa </w:t>
      </w:r>
      <w:r w:rsidRPr="00AC6ACC">
        <w:rPr>
          <w:rFonts w:ascii="Times New Roman" w:hAnsi="Times New Roman" w:cs="Times New Roman"/>
        </w:rPr>
        <w:t>kanonizacij</w:t>
      </w:r>
      <w:r w:rsidR="00AB1008">
        <w:rPr>
          <w:rFonts w:ascii="Times New Roman" w:hAnsi="Times New Roman" w:cs="Times New Roman"/>
        </w:rPr>
        <w:t>e</w:t>
      </w:r>
      <w:r w:rsidRPr="00AC6ACC">
        <w:rPr>
          <w:rFonts w:ascii="Times New Roman" w:hAnsi="Times New Roman" w:cs="Times New Roman"/>
        </w:rPr>
        <w:t xml:space="preserve"> svetaca</w:t>
      </w:r>
    </w:p>
    <w:p w:rsidR="00B543DA" w:rsidRPr="00AC6ACC" w:rsidRDefault="00B543DA" w:rsidP="007131D3">
      <w:pPr>
        <w:pStyle w:val="HTMLunaprijedoblikovano"/>
        <w:spacing w:after="120"/>
        <w:ind w:left="284" w:right="284"/>
        <w:jc w:val="both"/>
        <w:rPr>
          <w:rFonts w:ascii="Times New Roman" w:hAnsi="Times New Roman" w:cs="Times New Roman"/>
          <w:b/>
          <w:bCs/>
        </w:rPr>
      </w:pPr>
      <w:r w:rsidRPr="00AC6ACC">
        <w:rPr>
          <w:rFonts w:ascii="Times New Roman" w:hAnsi="Times New Roman" w:cs="Times New Roman"/>
          <w:b/>
          <w:bCs/>
        </w:rPr>
        <w:t xml:space="preserve">*** </w:t>
      </w:r>
      <w:r w:rsidRPr="00615E32">
        <w:rPr>
          <w:rFonts w:ascii="Times New Roman" w:hAnsi="Times New Roman" w:cs="Times New Roman"/>
          <w:bCs/>
          <w:i/>
        </w:rPr>
        <w:t>Božićni/novogodišnji blagdani</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13</w:t>
      </w:r>
      <w:r w:rsidR="00B543DA" w:rsidRPr="00AC6ACC">
        <w:rPr>
          <w:rFonts w:ascii="Times New Roman" w:hAnsi="Times New Roman" w:cs="Times New Roman"/>
          <w:b/>
          <w:bCs/>
        </w:rPr>
        <w:t xml:space="preserve">.1. Odnos prema drugima: istočni kršćani, židovi i </w:t>
      </w:r>
      <w:proofErr w:type="spellStart"/>
      <w:r w:rsidR="00B543DA" w:rsidRPr="00AC6ACC">
        <w:rPr>
          <w:rFonts w:ascii="Times New Roman" w:hAnsi="Times New Roman" w:cs="Times New Roman"/>
          <w:b/>
          <w:bCs/>
        </w:rPr>
        <w:t>muslimani</w:t>
      </w:r>
      <w:proofErr w:type="spellEnd"/>
    </w:p>
    <w:p w:rsidR="00B543DA" w:rsidRPr="00AC6ACC" w:rsidRDefault="00B543DA" w:rsidP="007131D3">
      <w:pPr>
        <w:pStyle w:val="HTMLunaprijedoblikovano"/>
        <w:spacing w:after="120"/>
        <w:ind w:left="284" w:right="284"/>
        <w:jc w:val="both"/>
        <w:rPr>
          <w:rFonts w:ascii="Times New Roman" w:hAnsi="Times New Roman" w:cs="Times New Roman"/>
        </w:rPr>
      </w:pPr>
      <w:r w:rsidRPr="00AC6ACC">
        <w:rPr>
          <w:rFonts w:ascii="Times New Roman" w:hAnsi="Times New Roman" w:cs="Times New Roman"/>
        </w:rPr>
        <w:t>Udaljavanje istoka i zapada, židovi: predrasude i oblikovanje „</w:t>
      </w:r>
      <w:proofErr w:type="spellStart"/>
      <w:r w:rsidRPr="00AC6ACC">
        <w:rPr>
          <w:rFonts w:ascii="Times New Roman" w:hAnsi="Times New Roman" w:cs="Times New Roman"/>
        </w:rPr>
        <w:t>progonećeg</w:t>
      </w:r>
      <w:proofErr w:type="spellEnd"/>
      <w:r w:rsidRPr="00AC6ACC">
        <w:rPr>
          <w:rFonts w:ascii="Times New Roman" w:hAnsi="Times New Roman" w:cs="Times New Roman"/>
        </w:rPr>
        <w:t xml:space="preserve"> društva“, </w:t>
      </w:r>
      <w:r w:rsidR="00AB1008" w:rsidRPr="00AC6ACC">
        <w:rPr>
          <w:rFonts w:ascii="Times New Roman" w:hAnsi="Times New Roman" w:cs="Times New Roman"/>
        </w:rPr>
        <w:t xml:space="preserve">križarski ratovi </w:t>
      </w:r>
      <w:r w:rsidR="00AB1008">
        <w:rPr>
          <w:rFonts w:ascii="Times New Roman" w:hAnsi="Times New Roman" w:cs="Times New Roman"/>
        </w:rPr>
        <w:t xml:space="preserve">i odnos prema </w:t>
      </w:r>
      <w:proofErr w:type="spellStart"/>
      <w:r w:rsidR="00AB1008">
        <w:rPr>
          <w:rFonts w:ascii="Times New Roman" w:hAnsi="Times New Roman" w:cs="Times New Roman"/>
        </w:rPr>
        <w:t>muslimanima</w:t>
      </w:r>
      <w:proofErr w:type="spellEnd"/>
      <w:r w:rsidRPr="00AC6ACC">
        <w:rPr>
          <w:rFonts w:ascii="Times New Roman" w:hAnsi="Times New Roman" w:cs="Times New Roman"/>
        </w:rPr>
        <w:t xml:space="preserve"> </w:t>
      </w:r>
    </w:p>
    <w:p w:rsidR="00B543DA" w:rsidRPr="00AC6ACC" w:rsidRDefault="00AB1008" w:rsidP="007131D3">
      <w:pPr>
        <w:pStyle w:val="HTMLunaprijedoblikovano"/>
        <w:ind w:left="284" w:right="284"/>
        <w:jc w:val="both"/>
        <w:rPr>
          <w:rFonts w:ascii="Times New Roman" w:hAnsi="Times New Roman" w:cs="Times New Roman"/>
          <w:b/>
          <w:bCs/>
        </w:rPr>
      </w:pPr>
      <w:r>
        <w:rPr>
          <w:rFonts w:ascii="Times New Roman" w:hAnsi="Times New Roman" w:cs="Times New Roman"/>
          <w:b/>
          <w:bCs/>
        </w:rPr>
        <w:t>20</w:t>
      </w:r>
      <w:r w:rsidR="00B543DA" w:rsidRPr="00AC6ACC">
        <w:rPr>
          <w:rFonts w:ascii="Times New Roman" w:hAnsi="Times New Roman" w:cs="Times New Roman"/>
          <w:b/>
          <w:bCs/>
        </w:rPr>
        <w:t>.1. Unutarnji neprijatelji: heretici i raspadanje crkvenog jedinstva</w:t>
      </w:r>
    </w:p>
    <w:p w:rsidR="00B543DA" w:rsidRPr="00AC6ACC" w:rsidRDefault="00B543DA" w:rsidP="007131D3">
      <w:pPr>
        <w:pStyle w:val="HTMLunaprijedoblikovano"/>
        <w:ind w:left="284" w:right="284"/>
        <w:jc w:val="both"/>
        <w:rPr>
          <w:rFonts w:ascii="Times New Roman" w:hAnsi="Times New Roman" w:cs="Times New Roman"/>
        </w:rPr>
      </w:pPr>
      <w:r w:rsidRPr="00AC6ACC">
        <w:rPr>
          <w:rFonts w:ascii="Times New Roman" w:hAnsi="Times New Roman" w:cs="Times New Roman"/>
        </w:rPr>
        <w:t>Srednjovjekovne hereze i odgovor Crkve na njihovu pojavu, strah od zavjera, inkvizicija i unutar-europski križarski ratovi, Crna smrt i njezine posljedice</w:t>
      </w:r>
    </w:p>
    <w:p w:rsidR="00AB1008" w:rsidRDefault="00AB1008" w:rsidP="00615E32">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284" w:right="284"/>
        <w:jc w:val="both"/>
        <w:rPr>
          <w:rFonts w:ascii="Times New Roman" w:hAnsi="Times New Roman" w:cs="Times New Roman"/>
          <w:b/>
          <w:bCs/>
          <w:sz w:val="20"/>
          <w:szCs w:val="20"/>
        </w:rPr>
      </w:pPr>
      <w:r>
        <w:rPr>
          <w:rFonts w:ascii="Times New Roman" w:hAnsi="Times New Roman" w:cs="Times New Roman"/>
          <w:b/>
          <w:bCs/>
          <w:sz w:val="20"/>
          <w:szCs w:val="20"/>
        </w:rPr>
        <w:t>27</w:t>
      </w:r>
      <w:r w:rsidR="00B543DA" w:rsidRPr="00AC6ACC">
        <w:rPr>
          <w:rFonts w:ascii="Times New Roman" w:hAnsi="Times New Roman" w:cs="Times New Roman"/>
          <w:b/>
          <w:bCs/>
          <w:sz w:val="20"/>
          <w:szCs w:val="20"/>
        </w:rPr>
        <w:t>.1. Završna diskusija</w:t>
      </w:r>
    </w:p>
    <w:p w:rsidR="00615E32" w:rsidRPr="00615E32" w:rsidRDefault="00615E32" w:rsidP="00AB1008">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right="284"/>
        <w:jc w:val="both"/>
        <w:rPr>
          <w:rFonts w:ascii="Times New Roman" w:hAnsi="Times New Roman" w:cs="Times New Roman"/>
          <w:b/>
          <w:bCs/>
          <w:sz w:val="20"/>
          <w:szCs w:val="20"/>
          <w:lang w:val="hr-HR"/>
        </w:rPr>
      </w:pPr>
    </w:p>
    <w:p w:rsidR="00B543DA" w:rsidRPr="00AB1008" w:rsidRDefault="00B543DA" w:rsidP="00AB1008">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right="284"/>
        <w:jc w:val="both"/>
        <w:rPr>
          <w:rFonts w:ascii="Times New Roman" w:hAnsi="Times New Roman" w:cs="Times New Roman"/>
          <w:b/>
          <w:bCs/>
          <w:sz w:val="20"/>
          <w:szCs w:val="20"/>
        </w:rPr>
      </w:pPr>
      <w:r w:rsidRPr="00AB1008">
        <w:rPr>
          <w:rFonts w:ascii="Times New Roman" w:hAnsi="Times New Roman" w:cs="Times New Roman"/>
          <w:b/>
          <w:bCs/>
          <w:lang w:val="hr-HR"/>
        </w:rPr>
        <w:t>3. Obvezatna literatura</w:t>
      </w:r>
    </w:p>
    <w:p w:rsidR="00B543DA" w:rsidRPr="00450652" w:rsidRDefault="00B543DA" w:rsidP="007131D3">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b/>
          <w:bCs/>
          <w:sz w:val="20"/>
          <w:szCs w:val="20"/>
          <w:lang w:val="hr-HR"/>
        </w:rPr>
      </w:pPr>
      <w:r w:rsidRPr="00450652">
        <w:rPr>
          <w:rFonts w:ascii="Times New Roman" w:hAnsi="Times New Roman" w:cs="Times New Roman"/>
          <w:b/>
          <w:bCs/>
          <w:i/>
          <w:iCs/>
          <w:sz w:val="20"/>
          <w:szCs w:val="20"/>
          <w:lang w:val="hr-HR"/>
        </w:rPr>
        <w:t>Ispitna literatura</w:t>
      </w:r>
    </w:p>
    <w:p w:rsidR="00B543DA" w:rsidRPr="00450652" w:rsidRDefault="00B543DA" w:rsidP="00450652">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0"/>
          <w:szCs w:val="20"/>
          <w:lang w:val="hr-HR"/>
        </w:rPr>
      </w:pPr>
      <w:proofErr w:type="spellStart"/>
      <w:r w:rsidRPr="00450652">
        <w:rPr>
          <w:rFonts w:ascii="Times New Roman" w:hAnsi="Times New Roman" w:cs="Times New Roman"/>
          <w:sz w:val="20"/>
          <w:szCs w:val="20"/>
          <w:lang w:val="hr-HR"/>
        </w:rPr>
        <w:t>Franzen</w:t>
      </w:r>
      <w:proofErr w:type="spellEnd"/>
      <w:r w:rsidRPr="00450652">
        <w:rPr>
          <w:rFonts w:ascii="Times New Roman" w:hAnsi="Times New Roman" w:cs="Times New Roman"/>
          <w:sz w:val="20"/>
          <w:szCs w:val="20"/>
          <w:lang w:val="hr-HR"/>
        </w:rPr>
        <w:t xml:space="preserve">, August. </w:t>
      </w:r>
      <w:r w:rsidRPr="00450652">
        <w:rPr>
          <w:rFonts w:ascii="Times New Roman" w:hAnsi="Times New Roman" w:cs="Times New Roman"/>
          <w:i/>
          <w:iCs/>
          <w:sz w:val="20"/>
          <w:szCs w:val="20"/>
          <w:lang w:val="hr-HR"/>
        </w:rPr>
        <w:t>Pregled povijesti Crkve.</w:t>
      </w:r>
      <w:r w:rsidRPr="00450652">
        <w:rPr>
          <w:rFonts w:ascii="Times New Roman" w:hAnsi="Times New Roman" w:cs="Times New Roman"/>
          <w:sz w:val="20"/>
          <w:szCs w:val="20"/>
          <w:lang w:val="hr-HR"/>
        </w:rPr>
        <w:t xml:space="preserve"> </w:t>
      </w:r>
      <w:proofErr w:type="spellStart"/>
      <w:r w:rsidRPr="00450652">
        <w:rPr>
          <w:rFonts w:ascii="Times New Roman" w:hAnsi="Times New Roman" w:cs="Times New Roman"/>
          <w:sz w:val="20"/>
          <w:szCs w:val="20"/>
          <w:lang w:val="hr-HR"/>
        </w:rPr>
        <w:t>Prev</w:t>
      </w:r>
      <w:proofErr w:type="spellEnd"/>
      <w:r w:rsidRPr="00450652">
        <w:rPr>
          <w:rFonts w:ascii="Times New Roman" w:hAnsi="Times New Roman" w:cs="Times New Roman"/>
          <w:sz w:val="20"/>
          <w:szCs w:val="20"/>
          <w:lang w:val="hr-HR"/>
        </w:rPr>
        <w:t xml:space="preserve">. Josip </w:t>
      </w:r>
      <w:proofErr w:type="spellStart"/>
      <w:r w:rsidRPr="00450652">
        <w:rPr>
          <w:rFonts w:ascii="Times New Roman" w:hAnsi="Times New Roman" w:cs="Times New Roman"/>
          <w:sz w:val="20"/>
          <w:szCs w:val="20"/>
          <w:lang w:val="hr-HR"/>
        </w:rPr>
        <w:t>Rittig</w:t>
      </w:r>
      <w:proofErr w:type="spellEnd"/>
      <w:r w:rsidRPr="00450652">
        <w:rPr>
          <w:rFonts w:ascii="Times New Roman" w:hAnsi="Times New Roman" w:cs="Times New Roman"/>
          <w:sz w:val="20"/>
          <w:szCs w:val="20"/>
          <w:lang w:val="hr-HR"/>
        </w:rPr>
        <w:t>. Priručnici sv. 1. Zagreb: K</w:t>
      </w:r>
      <w:r w:rsidR="00AB1008">
        <w:rPr>
          <w:rFonts w:ascii="Times New Roman" w:hAnsi="Times New Roman" w:cs="Times New Roman"/>
          <w:sz w:val="20"/>
          <w:szCs w:val="20"/>
          <w:lang w:val="hr-HR"/>
        </w:rPr>
        <w:t>S</w:t>
      </w:r>
      <w:r w:rsidRPr="00450652">
        <w:rPr>
          <w:rFonts w:ascii="Times New Roman" w:hAnsi="Times New Roman" w:cs="Times New Roman"/>
          <w:sz w:val="20"/>
          <w:szCs w:val="20"/>
          <w:lang w:val="hr-HR"/>
        </w:rPr>
        <w:t>, 1993., 94-206.</w:t>
      </w:r>
    </w:p>
    <w:p w:rsidR="00B543DA" w:rsidRPr="00450652" w:rsidRDefault="00B543DA" w:rsidP="004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hr-HR"/>
        </w:rPr>
      </w:pPr>
      <w:r w:rsidRPr="00450652">
        <w:rPr>
          <w:sz w:val="20"/>
          <w:szCs w:val="20"/>
          <w:lang w:val="hr-HR"/>
        </w:rPr>
        <w:t xml:space="preserve">Kovačić, Slavko. </w:t>
      </w:r>
      <w:r w:rsidRPr="00450652">
        <w:rPr>
          <w:i/>
          <w:iCs/>
          <w:sz w:val="20"/>
          <w:szCs w:val="20"/>
          <w:lang w:val="hr-HR"/>
        </w:rPr>
        <w:t>Kršćanstvo i Crkva u staromu i srednjemu vijeku.</w:t>
      </w:r>
      <w:r w:rsidRPr="00450652">
        <w:rPr>
          <w:sz w:val="20"/>
          <w:szCs w:val="20"/>
          <w:lang w:val="hr-HR"/>
        </w:rPr>
        <w:t xml:space="preserve"> Split: Verbum, 2004..  </w:t>
      </w:r>
    </w:p>
    <w:p w:rsidR="00B543DA" w:rsidRPr="00450652" w:rsidRDefault="00B543DA" w:rsidP="004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hr-HR"/>
        </w:rPr>
      </w:pPr>
      <w:r w:rsidRPr="00450652">
        <w:rPr>
          <w:sz w:val="20"/>
          <w:szCs w:val="20"/>
          <w:lang w:val="hr-HR"/>
        </w:rPr>
        <w:t xml:space="preserve">Jedin, Hubert, ur. </w:t>
      </w:r>
      <w:r w:rsidRPr="00450652">
        <w:rPr>
          <w:i/>
          <w:iCs/>
          <w:sz w:val="20"/>
          <w:szCs w:val="20"/>
          <w:lang w:val="hr-HR"/>
        </w:rPr>
        <w:t xml:space="preserve">Velika povijest Crkve </w:t>
      </w:r>
      <w:r w:rsidRPr="00450652">
        <w:rPr>
          <w:sz w:val="20"/>
          <w:szCs w:val="20"/>
          <w:lang w:val="hr-HR"/>
        </w:rPr>
        <w:t>III/I</w:t>
      </w:r>
      <w:r w:rsidRPr="00450652">
        <w:rPr>
          <w:i/>
          <w:iCs/>
          <w:sz w:val="20"/>
          <w:szCs w:val="20"/>
          <w:lang w:val="hr-HR"/>
        </w:rPr>
        <w:t>: Od crkvenog ranog srednjeg vijeka do grgurovske reforme.</w:t>
      </w:r>
      <w:r w:rsidRPr="00450652">
        <w:rPr>
          <w:sz w:val="20"/>
          <w:szCs w:val="20"/>
          <w:lang w:val="hr-HR"/>
        </w:rPr>
        <w:t xml:space="preserve"> Prev. J. Rittig i L. Držić. Zagreb: Kršćanska sadašnjost, 1971., </w:t>
      </w:r>
      <w:r w:rsidRPr="00450652">
        <w:rPr>
          <w:sz w:val="20"/>
          <w:szCs w:val="20"/>
          <w:vertAlign w:val="superscript"/>
          <w:lang w:val="hr-HR"/>
        </w:rPr>
        <w:t>2</w:t>
      </w:r>
      <w:r w:rsidRPr="00450652">
        <w:rPr>
          <w:sz w:val="20"/>
          <w:szCs w:val="20"/>
          <w:lang w:val="hr-HR"/>
        </w:rPr>
        <w:t>2001.</w:t>
      </w:r>
    </w:p>
    <w:p w:rsidR="00B543DA" w:rsidRPr="00450652" w:rsidRDefault="00B543DA" w:rsidP="0061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sz w:val="20"/>
          <w:szCs w:val="20"/>
          <w:lang w:val="hr-HR"/>
        </w:rPr>
      </w:pPr>
      <w:r w:rsidRPr="00450652">
        <w:rPr>
          <w:sz w:val="20"/>
          <w:szCs w:val="20"/>
          <w:lang w:val="hr-HR"/>
        </w:rPr>
        <w:t xml:space="preserve">Jedin, Hubert, ur. </w:t>
      </w:r>
      <w:r w:rsidRPr="00450652">
        <w:rPr>
          <w:i/>
          <w:iCs/>
          <w:sz w:val="20"/>
          <w:szCs w:val="20"/>
          <w:lang w:val="hr-HR"/>
        </w:rPr>
        <w:t xml:space="preserve">Velika povijest Crkve III/II: </w:t>
      </w:r>
      <w:r w:rsidRPr="00450652">
        <w:rPr>
          <w:i/>
          <w:iCs/>
          <w:sz w:val="20"/>
          <w:szCs w:val="20"/>
        </w:rPr>
        <w:t>Srednjovjekovna</w:t>
      </w:r>
      <w:r w:rsidRPr="00450652">
        <w:rPr>
          <w:i/>
          <w:iCs/>
          <w:sz w:val="20"/>
          <w:szCs w:val="20"/>
          <w:lang w:val="hr-HR"/>
        </w:rPr>
        <w:t xml:space="preserve"> </w:t>
      </w:r>
      <w:r w:rsidRPr="00450652">
        <w:rPr>
          <w:i/>
          <w:iCs/>
          <w:sz w:val="20"/>
          <w:szCs w:val="20"/>
        </w:rPr>
        <w:t>crkva</w:t>
      </w:r>
      <w:r w:rsidRPr="00450652">
        <w:rPr>
          <w:sz w:val="20"/>
          <w:szCs w:val="20"/>
          <w:lang w:val="hr-HR"/>
        </w:rPr>
        <w:t>. Zagreb: Kršćanska sadašnjost, 1993.</w:t>
      </w:r>
    </w:p>
    <w:p w:rsidR="00B543DA" w:rsidRPr="00615E32" w:rsidRDefault="00B543DA" w:rsidP="00615E32">
      <w:pPr>
        <w:pStyle w:val="Naslov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0"/>
          <w:szCs w:val="20"/>
          <w:lang w:val="hr-HR"/>
        </w:rPr>
      </w:pPr>
      <w:r w:rsidRPr="00450652">
        <w:rPr>
          <w:sz w:val="20"/>
          <w:szCs w:val="20"/>
          <w:lang w:val="hr-HR"/>
        </w:rPr>
        <w:t xml:space="preserve">* </w:t>
      </w:r>
      <w:r w:rsidRPr="00450652">
        <w:rPr>
          <w:i/>
          <w:iCs/>
          <w:sz w:val="20"/>
          <w:szCs w:val="20"/>
          <w:lang w:val="hr-HR"/>
        </w:rPr>
        <w:t>Tjedna čitanja</w:t>
      </w:r>
      <w:r w:rsidRPr="00450652">
        <w:rPr>
          <w:sz w:val="20"/>
          <w:szCs w:val="20"/>
          <w:lang w:val="hr-HR"/>
        </w:rPr>
        <w:t xml:space="preserve"> </w:t>
      </w:r>
      <w:r w:rsidRPr="00450652">
        <w:rPr>
          <w:b w:val="0"/>
          <w:bCs w:val="0"/>
          <w:sz w:val="20"/>
          <w:szCs w:val="20"/>
          <w:lang w:val="hr-HR"/>
        </w:rPr>
        <w:t>i izborna literatura bit će priređeni u obliku Čitanke, odnosno tjednih zadataka.</w:t>
      </w:r>
    </w:p>
    <w:sectPr w:rsidR="00B543DA" w:rsidRPr="00615E32" w:rsidSect="00F76447">
      <w:pgSz w:w="11906" w:h="16838" w:code="9"/>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DA" w:rsidRDefault="00B543DA" w:rsidP="00F76447">
      <w:r>
        <w:separator/>
      </w:r>
    </w:p>
  </w:endnote>
  <w:endnote w:type="continuationSeparator" w:id="0">
    <w:p w:rsidR="00B543DA" w:rsidRDefault="00B543DA" w:rsidP="00F76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DA" w:rsidRDefault="00B543DA" w:rsidP="00F76447">
      <w:r>
        <w:separator/>
      </w:r>
    </w:p>
  </w:footnote>
  <w:footnote w:type="continuationSeparator" w:id="0">
    <w:p w:rsidR="00B543DA" w:rsidRDefault="00B543DA" w:rsidP="00F76447">
      <w:r>
        <w:continuationSeparator/>
      </w:r>
    </w:p>
  </w:footnote>
  <w:footnote w:id="1">
    <w:p w:rsidR="00B543DA" w:rsidRPr="00AB1008" w:rsidRDefault="00B543DA" w:rsidP="00796983">
      <w:pPr>
        <w:pStyle w:val="Tekstfusnote"/>
        <w:jc w:val="both"/>
        <w:rPr>
          <w:sz w:val="18"/>
          <w:szCs w:val="18"/>
        </w:rPr>
      </w:pPr>
      <w:r w:rsidRPr="00AB1008">
        <w:rPr>
          <w:rStyle w:val="Referencafusnote"/>
          <w:sz w:val="18"/>
          <w:szCs w:val="18"/>
        </w:rPr>
        <w:footnoteRef/>
      </w:r>
      <w:r w:rsidRPr="00AB1008">
        <w:rPr>
          <w:sz w:val="18"/>
          <w:szCs w:val="18"/>
        </w:rPr>
        <w:t xml:space="preserve"> </w:t>
      </w:r>
      <w:r w:rsidRPr="00AB1008">
        <w:rPr>
          <w:sz w:val="18"/>
          <w:szCs w:val="18"/>
          <w:lang w:val="hr-HR"/>
        </w:rPr>
        <w:t xml:space="preserve">Seminarski rad mora zadovoljavati temeljne zahtjeve pisanog rada diplomske razine studija (MA). Isključeno je, dakle, gomilanje povijesnih podataka bez problematiziranja, raščlambe i tumačenja. Rad treba pokazivati da je student literaturu kritički „probavio”. Podrazumijeva se korištenje barem nekoliko izvora. Seminarski rad može biti rana verzija odlomka ili poglavlja diplomskog (magistarskog) rada. Dužina rada trebala bi biti (ni više ni manje) između 8 i 18 kartica teksta (tijelo teksta: TNR, 12pt, prored 1,5, bilješke: TNR 10pt, prored 1). Popis literature mora sadržavati </w:t>
      </w:r>
      <w:r w:rsidRPr="00AB1008">
        <w:rPr>
          <w:sz w:val="18"/>
          <w:szCs w:val="18"/>
          <w:u w:val="single"/>
          <w:lang w:val="hr-HR"/>
        </w:rPr>
        <w:t>najmanje</w:t>
      </w:r>
      <w:r w:rsidRPr="00AB1008">
        <w:rPr>
          <w:sz w:val="18"/>
          <w:szCs w:val="18"/>
          <w:lang w:val="hr-HR"/>
        </w:rPr>
        <w:t xml:space="preserve"> 12 naslova od čega barem 2-3 izvora.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47"/>
    <w:rsid w:val="00000F4F"/>
    <w:rsid w:val="00014580"/>
    <w:rsid w:val="0004316B"/>
    <w:rsid w:val="00046748"/>
    <w:rsid w:val="00070355"/>
    <w:rsid w:val="000875AD"/>
    <w:rsid w:val="00091C0A"/>
    <w:rsid w:val="000F61B5"/>
    <w:rsid w:val="0011543F"/>
    <w:rsid w:val="001268BD"/>
    <w:rsid w:val="001808F7"/>
    <w:rsid w:val="001840DD"/>
    <w:rsid w:val="001909BF"/>
    <w:rsid w:val="00204174"/>
    <w:rsid w:val="002050B0"/>
    <w:rsid w:val="00242946"/>
    <w:rsid w:val="00275D0B"/>
    <w:rsid w:val="002E7CEF"/>
    <w:rsid w:val="00314B81"/>
    <w:rsid w:val="00383547"/>
    <w:rsid w:val="004218C2"/>
    <w:rsid w:val="00450652"/>
    <w:rsid w:val="00486D75"/>
    <w:rsid w:val="004B7AA6"/>
    <w:rsid w:val="00500223"/>
    <w:rsid w:val="0050186A"/>
    <w:rsid w:val="00504B4C"/>
    <w:rsid w:val="006024C9"/>
    <w:rsid w:val="00615E32"/>
    <w:rsid w:val="0065238E"/>
    <w:rsid w:val="00680461"/>
    <w:rsid w:val="006F1DD1"/>
    <w:rsid w:val="00707B3B"/>
    <w:rsid w:val="007131D3"/>
    <w:rsid w:val="00734B01"/>
    <w:rsid w:val="00796983"/>
    <w:rsid w:val="007B7507"/>
    <w:rsid w:val="00802276"/>
    <w:rsid w:val="008441C0"/>
    <w:rsid w:val="008E4494"/>
    <w:rsid w:val="00965541"/>
    <w:rsid w:val="0097079D"/>
    <w:rsid w:val="009806A1"/>
    <w:rsid w:val="00A77685"/>
    <w:rsid w:val="00A8037F"/>
    <w:rsid w:val="00AB1008"/>
    <w:rsid w:val="00AC6ACC"/>
    <w:rsid w:val="00AF2562"/>
    <w:rsid w:val="00B232BD"/>
    <w:rsid w:val="00B543DA"/>
    <w:rsid w:val="00B622FD"/>
    <w:rsid w:val="00B67217"/>
    <w:rsid w:val="00C06482"/>
    <w:rsid w:val="00C12980"/>
    <w:rsid w:val="00C54342"/>
    <w:rsid w:val="00C61D4B"/>
    <w:rsid w:val="00C86DCF"/>
    <w:rsid w:val="00D06DF9"/>
    <w:rsid w:val="00D65215"/>
    <w:rsid w:val="00D73565"/>
    <w:rsid w:val="00D737D3"/>
    <w:rsid w:val="00EC63DE"/>
    <w:rsid w:val="00F76447"/>
    <w:rsid w:val="00FF449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7"/>
    <w:rPr>
      <w:rFonts w:ascii="Times New Roman" w:eastAsia="Times New Roman" w:hAnsi="Times New Roman"/>
      <w:noProof/>
      <w:sz w:val="24"/>
      <w:szCs w:val="24"/>
      <w:lang w:val="en-GB"/>
    </w:rPr>
  </w:style>
  <w:style w:type="paragraph" w:styleId="Naslov1">
    <w:name w:val="heading 1"/>
    <w:basedOn w:val="Normal"/>
    <w:next w:val="Normal"/>
    <w:link w:val="Naslov1Char"/>
    <w:uiPriority w:val="99"/>
    <w:qFormat/>
    <w:rsid w:val="00F76447"/>
    <w:pPr>
      <w:keepNext/>
      <w:jc w:val="both"/>
      <w:outlineLvl w:val="0"/>
    </w:pPr>
    <w:rPr>
      <w:b/>
      <w:bCs/>
      <w:noProof w:val="0"/>
      <w:lang w:val="hu-HU" w:eastAsia="hu-HU"/>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76447"/>
    <w:rPr>
      <w:rFonts w:ascii="Times New Roman" w:hAnsi="Times New Roman" w:cs="Times New Roman"/>
      <w:b/>
      <w:bCs/>
      <w:sz w:val="24"/>
      <w:szCs w:val="24"/>
      <w:lang w:val="hu-HU" w:eastAsia="hu-HU"/>
    </w:rPr>
  </w:style>
  <w:style w:type="paragraph" w:styleId="HTMLunaprijedoblikovano">
    <w:name w:val="HTML Preformatted"/>
    <w:basedOn w:val="Normal"/>
    <w:link w:val="HTMLunaprijedoblikovanoChar"/>
    <w:uiPriority w:val="99"/>
    <w:semiHidden/>
    <w:rsid w:val="00F7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noProof w:val="0"/>
      <w:color w:val="000000"/>
      <w:sz w:val="20"/>
      <w:szCs w:val="20"/>
      <w:lang w:val="hr-HR"/>
    </w:rPr>
  </w:style>
  <w:style w:type="character" w:customStyle="1" w:styleId="HTMLunaprijedoblikovanoChar">
    <w:name w:val="HTML unaprijed oblikovano Char"/>
    <w:basedOn w:val="Zadanifontodlomka"/>
    <w:link w:val="HTMLunaprijedoblikovano"/>
    <w:uiPriority w:val="99"/>
    <w:semiHidden/>
    <w:locked/>
    <w:rsid w:val="00F76447"/>
    <w:rPr>
      <w:rFonts w:ascii="Courier New" w:hAnsi="Courier New" w:cs="Courier New"/>
      <w:color w:val="000000"/>
      <w:sz w:val="20"/>
      <w:szCs w:val="20"/>
      <w:lang w:eastAsia="hr-HR"/>
    </w:rPr>
  </w:style>
  <w:style w:type="paragraph" w:styleId="StandardWeb">
    <w:name w:val="Normal (Web)"/>
    <w:basedOn w:val="Normal"/>
    <w:uiPriority w:val="99"/>
    <w:semiHidden/>
    <w:rsid w:val="00F76447"/>
    <w:pPr>
      <w:spacing w:before="100" w:beforeAutospacing="1" w:after="100" w:afterAutospacing="1"/>
    </w:pPr>
    <w:rPr>
      <w:rFonts w:ascii="Arial Unicode MS" w:eastAsia="Arial Unicode MS" w:hAnsi="Arial Unicode MS" w:cs="Arial Unicode MS"/>
      <w:noProof w:val="0"/>
      <w:lang w:val="hu-HU" w:eastAsia="hu-HU"/>
    </w:rPr>
  </w:style>
  <w:style w:type="paragraph" w:styleId="Tekstfusnote">
    <w:name w:val="footnote text"/>
    <w:basedOn w:val="Normal"/>
    <w:link w:val="TekstfusnoteChar"/>
    <w:uiPriority w:val="99"/>
    <w:semiHidden/>
    <w:rsid w:val="00F76447"/>
    <w:rPr>
      <w:noProof w:val="0"/>
      <w:sz w:val="20"/>
      <w:szCs w:val="20"/>
      <w:lang w:val="en-US" w:eastAsia="hu-HU"/>
    </w:rPr>
  </w:style>
  <w:style w:type="character" w:customStyle="1" w:styleId="TekstfusnoteChar">
    <w:name w:val="Tekst fusnote Char"/>
    <w:basedOn w:val="Zadanifontodlomka"/>
    <w:link w:val="Tekstfusnote"/>
    <w:uiPriority w:val="99"/>
    <w:semiHidden/>
    <w:locked/>
    <w:rsid w:val="00F76447"/>
    <w:rPr>
      <w:rFonts w:ascii="Times New Roman" w:hAnsi="Times New Roman" w:cs="Times New Roman"/>
      <w:sz w:val="20"/>
      <w:szCs w:val="20"/>
      <w:lang w:val="en-US" w:eastAsia="hu-HU"/>
    </w:rPr>
  </w:style>
  <w:style w:type="paragraph" w:styleId="Naslov">
    <w:name w:val="Title"/>
    <w:basedOn w:val="Normal"/>
    <w:link w:val="NaslovChar"/>
    <w:uiPriority w:val="99"/>
    <w:qFormat/>
    <w:rsid w:val="00F76447"/>
    <w:pPr>
      <w:jc w:val="center"/>
    </w:pPr>
    <w:rPr>
      <w:b/>
      <w:bCs/>
      <w:noProof w:val="0"/>
      <w:sz w:val="28"/>
      <w:szCs w:val="28"/>
      <w:lang w:val="hu-HU" w:eastAsia="hu-HU"/>
    </w:rPr>
  </w:style>
  <w:style w:type="character" w:customStyle="1" w:styleId="NaslovChar">
    <w:name w:val="Naslov Char"/>
    <w:basedOn w:val="Zadanifontodlomka"/>
    <w:link w:val="Naslov"/>
    <w:uiPriority w:val="99"/>
    <w:locked/>
    <w:rsid w:val="00F76447"/>
    <w:rPr>
      <w:rFonts w:ascii="Times New Roman" w:hAnsi="Times New Roman" w:cs="Times New Roman"/>
      <w:b/>
      <w:bCs/>
      <w:sz w:val="24"/>
      <w:szCs w:val="24"/>
      <w:lang w:val="hu-HU" w:eastAsia="hu-HU"/>
    </w:rPr>
  </w:style>
  <w:style w:type="character" w:styleId="Referencafusnote">
    <w:name w:val="footnote reference"/>
    <w:basedOn w:val="Zadanifontodlomka"/>
    <w:uiPriority w:val="99"/>
    <w:semiHidden/>
    <w:rsid w:val="00F76447"/>
    <w:rPr>
      <w:vertAlign w:val="superscript"/>
    </w:rPr>
  </w:style>
  <w:style w:type="paragraph" w:styleId="Tekstbalonia">
    <w:name w:val="Balloon Text"/>
    <w:basedOn w:val="Normal"/>
    <w:link w:val="TekstbaloniaChar"/>
    <w:uiPriority w:val="99"/>
    <w:semiHidden/>
    <w:rsid w:val="00450652"/>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96B"/>
    <w:rPr>
      <w:rFonts w:ascii="Times New Roman" w:eastAsia="Times New Roman" w:hAnsi="Times New Roman"/>
      <w:noProof/>
      <w:sz w:val="0"/>
      <w:szCs w:val="0"/>
      <w:lang w:val="en-GB"/>
    </w:rPr>
  </w:style>
</w:styles>
</file>

<file path=word/webSettings.xml><?xml version="1.0" encoding="utf-8"?>
<w:webSettings xmlns:r="http://schemas.openxmlformats.org/officeDocument/2006/relationships" xmlns:w="http://schemas.openxmlformats.org/wordprocessingml/2006/main">
  <w:divs>
    <w:div w:id="888340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838</Words>
  <Characters>5866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Adela</cp:lastModifiedBy>
  <cp:revision>24</cp:revision>
  <cp:lastPrinted>2012-10-24T11:18:00Z</cp:lastPrinted>
  <dcterms:created xsi:type="dcterms:W3CDTF">2011-10-09T19:08:00Z</dcterms:created>
  <dcterms:modified xsi:type="dcterms:W3CDTF">2014-09-15T09:25:00Z</dcterms:modified>
</cp:coreProperties>
</file>