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45825" w:rsidRDefault="00745825">
      <w:pPr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 xml:space="preserve">Naziv studija: </w:t>
      </w:r>
      <w:r>
        <w:rPr>
          <w:rFonts w:ascii="Arial" w:hAnsi="Arial" w:cs="Arial"/>
        </w:rPr>
        <w:t>Komparativna književnost</w:t>
      </w:r>
    </w:p>
    <w:p w:rsidR="00745825" w:rsidRDefault="00745825">
      <w:pPr>
        <w:jc w:val="both"/>
        <w:rPr>
          <w:rFonts w:ascii="Arial" w:hAnsi="Arial" w:cs="Arial"/>
          <w:b/>
          <w:bCs/>
        </w:rPr>
      </w:pPr>
    </w:p>
    <w:p w:rsidR="00745825" w:rsidRPr="00F95081" w:rsidRDefault="00745825">
      <w:pPr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Ime nastavnice:</w:t>
      </w:r>
      <w:r w:rsidR="00CB7800">
        <w:rPr>
          <w:rFonts w:ascii="Arial" w:hAnsi="Arial" w:cs="Arial"/>
          <w:b/>
          <w:bCs/>
        </w:rPr>
        <w:t xml:space="preserve"> </w:t>
      </w:r>
      <w:r w:rsidR="00F95081" w:rsidRPr="00F95081">
        <w:rPr>
          <w:rFonts w:ascii="Arial" w:hAnsi="Arial" w:cs="Arial"/>
          <w:bCs/>
        </w:rPr>
        <w:t xml:space="preserve">dr. sc. </w:t>
      </w:r>
      <w:r w:rsidRPr="00F95081">
        <w:rPr>
          <w:rFonts w:ascii="Arial" w:hAnsi="Arial" w:cs="Arial"/>
        </w:rPr>
        <w:t xml:space="preserve">Višnja </w:t>
      </w:r>
      <w:r w:rsidR="00795430">
        <w:rPr>
          <w:rFonts w:ascii="Arial" w:hAnsi="Arial" w:cs="Arial"/>
        </w:rPr>
        <w:t xml:space="preserve">Kačić </w:t>
      </w:r>
      <w:r w:rsidR="00CB7800">
        <w:rPr>
          <w:rFonts w:ascii="Arial" w:hAnsi="Arial" w:cs="Arial"/>
        </w:rPr>
        <w:t>Rogošić, doc.</w:t>
      </w:r>
      <w:bookmarkStart w:id="0" w:name="_GoBack"/>
      <w:bookmarkEnd w:id="0"/>
    </w:p>
    <w:p w:rsidR="00745825" w:rsidRDefault="00745825">
      <w:pPr>
        <w:jc w:val="both"/>
        <w:rPr>
          <w:rFonts w:ascii="Arial" w:hAnsi="Arial" w:cs="Arial"/>
          <w:b/>
          <w:bCs/>
        </w:rPr>
      </w:pPr>
    </w:p>
    <w:p w:rsidR="00745825" w:rsidRDefault="00745825">
      <w:pPr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 xml:space="preserve">Naziv kolegija: </w:t>
      </w:r>
      <w:r w:rsidR="00FB6069">
        <w:rPr>
          <w:rFonts w:ascii="Arial" w:hAnsi="Arial" w:cs="Arial"/>
        </w:rPr>
        <w:t>Uvod u teatrologiju</w:t>
      </w:r>
    </w:p>
    <w:p w:rsidR="00745825" w:rsidRDefault="00745825">
      <w:pPr>
        <w:jc w:val="both"/>
        <w:rPr>
          <w:rFonts w:ascii="Arial" w:hAnsi="Arial" w:cs="Arial"/>
          <w:b/>
          <w:bCs/>
        </w:rPr>
      </w:pPr>
    </w:p>
    <w:p w:rsidR="00745825" w:rsidRDefault="00745825">
      <w:pPr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 xml:space="preserve">Status kolegija: </w:t>
      </w:r>
      <w:r>
        <w:rPr>
          <w:rFonts w:ascii="Arial" w:hAnsi="Arial" w:cs="Arial"/>
        </w:rPr>
        <w:t>izborni</w:t>
      </w:r>
    </w:p>
    <w:p w:rsidR="00745825" w:rsidRDefault="00745825">
      <w:pPr>
        <w:jc w:val="both"/>
        <w:rPr>
          <w:rFonts w:ascii="Arial" w:hAnsi="Arial" w:cs="Arial"/>
          <w:b/>
          <w:bCs/>
        </w:rPr>
      </w:pPr>
    </w:p>
    <w:p w:rsidR="00745825" w:rsidRDefault="00745825">
      <w:pPr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 xml:space="preserve">Oblik nastave: </w:t>
      </w:r>
      <w:r>
        <w:rPr>
          <w:rFonts w:ascii="Arial" w:hAnsi="Arial" w:cs="Arial"/>
        </w:rPr>
        <w:t>predavanje i seminar</w:t>
      </w:r>
    </w:p>
    <w:p w:rsidR="00745825" w:rsidRDefault="00745825">
      <w:pPr>
        <w:jc w:val="both"/>
        <w:rPr>
          <w:rFonts w:ascii="Arial" w:hAnsi="Arial" w:cs="Arial"/>
        </w:rPr>
      </w:pPr>
    </w:p>
    <w:p w:rsidR="00745825" w:rsidRDefault="00745825">
      <w:pPr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Broj ECTS bodova:</w:t>
      </w:r>
      <w:r>
        <w:rPr>
          <w:rFonts w:ascii="Arial" w:hAnsi="Arial" w:cs="Arial"/>
        </w:rPr>
        <w:t xml:space="preserve"> 6</w:t>
      </w:r>
    </w:p>
    <w:p w:rsidR="00745825" w:rsidRDefault="00745825">
      <w:pPr>
        <w:jc w:val="both"/>
        <w:rPr>
          <w:rFonts w:ascii="Arial" w:hAnsi="Arial" w:cs="Arial"/>
          <w:b/>
          <w:bCs/>
        </w:rPr>
      </w:pPr>
    </w:p>
    <w:p w:rsidR="00745825" w:rsidRDefault="00745825">
      <w:pPr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Cilj kolegija:</w:t>
      </w:r>
      <w:r>
        <w:rPr>
          <w:rFonts w:ascii="Arial" w:hAnsi="Arial" w:cs="Arial"/>
        </w:rPr>
        <w:t xml:space="preserve"> Kolegij će uvesti studente u osnove teorije kazališta kroz povijesni pregled ključnih poetika i teorija od Aristotela do 20. stoljeća, prateći promjene u shvaćanju i dominaciji konstitutivnih elemenata kazališnog čina-djela.</w:t>
      </w:r>
    </w:p>
    <w:p w:rsidR="00745825" w:rsidRDefault="00745825">
      <w:pPr>
        <w:jc w:val="both"/>
        <w:rPr>
          <w:rFonts w:ascii="Arial" w:hAnsi="Arial" w:cs="Arial"/>
          <w:b/>
          <w:bCs/>
        </w:rPr>
      </w:pPr>
    </w:p>
    <w:p w:rsidR="00745825" w:rsidRDefault="00745825">
      <w:pPr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Sadržaj kolegija:</w:t>
      </w:r>
      <w:r>
        <w:rPr>
          <w:rFonts w:ascii="Arial" w:hAnsi="Arial" w:cs="Arial"/>
        </w:rPr>
        <w:t xml:space="preserve"> Tijekom kolegija govorit će se o antičkim teorijama kazališta (drame), njihovim odjecima u renesansi i klasicizmu te idejama kazališta koje se javljaju u 18. i 19. stoljeću. Posebna pažnja posvetit će se proliferaciji različitih kazališnih estetika (praksi) u 20. stoljeću u čijem su fokusu izvedba, trening izvođača, proces nastajanja predstave i novi odnosi s publikom. Kolegij će biti popraćen primjerima – prikladnim dostupnim snimcima predstava.</w:t>
      </w:r>
    </w:p>
    <w:p w:rsidR="00745825" w:rsidRDefault="00745825">
      <w:pPr>
        <w:jc w:val="both"/>
        <w:rPr>
          <w:rFonts w:ascii="Arial" w:hAnsi="Arial" w:cs="Arial"/>
        </w:rPr>
      </w:pPr>
    </w:p>
    <w:p w:rsidR="00745825" w:rsidRDefault="00745825">
      <w:pPr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Studentske obveze: </w:t>
      </w:r>
      <w:r>
        <w:rPr>
          <w:rFonts w:ascii="Arial" w:hAnsi="Arial" w:cs="Arial"/>
        </w:rPr>
        <w:t xml:space="preserve">Najviše 3 izostanka od 15 termina (obavezna 80% prisutnost na nastavi), aktivnost na nastavi, redovito izvršavanje obveza (čitanje zadane literature), izrada manjega pismenog rada (do 5 kartica). Pismeni ispit na kraju semestra: test i esej. </w:t>
      </w:r>
    </w:p>
    <w:p w:rsidR="00745825" w:rsidRDefault="00745825">
      <w:pPr>
        <w:jc w:val="both"/>
        <w:rPr>
          <w:rFonts w:ascii="Arial" w:hAnsi="Arial" w:cs="Arial"/>
          <w:b/>
          <w:bCs/>
        </w:rPr>
      </w:pPr>
    </w:p>
    <w:p w:rsidR="00745825" w:rsidRDefault="00745825">
      <w:pPr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  <w:u w:val="single"/>
        </w:rPr>
        <w:t>Raspored rada</w:t>
      </w:r>
      <w:r>
        <w:rPr>
          <w:rFonts w:ascii="Arial" w:hAnsi="Arial" w:cs="Arial"/>
          <w:b/>
          <w:bCs/>
        </w:rPr>
        <w:t>:</w:t>
      </w:r>
    </w:p>
    <w:p w:rsidR="00745825" w:rsidRDefault="00745825">
      <w:pPr>
        <w:jc w:val="both"/>
        <w:rPr>
          <w:rFonts w:ascii="Arial" w:hAnsi="Arial" w:cs="Arial"/>
        </w:rPr>
      </w:pPr>
    </w:p>
    <w:p w:rsidR="00745825" w:rsidRDefault="00745825">
      <w:pPr>
        <w:pStyle w:val="BodyTextIndent"/>
        <w:jc w:val="both"/>
      </w:pPr>
      <w:r>
        <w:t>1. Konstituiranje kolegija</w:t>
      </w:r>
    </w:p>
    <w:p w:rsidR="00745825" w:rsidRDefault="00745825">
      <w:pPr>
        <w:ind w:firstLine="360"/>
        <w:jc w:val="both"/>
        <w:rPr>
          <w:rFonts w:ascii="Arial" w:hAnsi="Arial" w:cs="Arial"/>
        </w:rPr>
      </w:pPr>
    </w:p>
    <w:p w:rsidR="00745825" w:rsidRDefault="00745825">
      <w:pPr>
        <w:ind w:firstLine="360"/>
        <w:jc w:val="both"/>
        <w:rPr>
          <w:rFonts w:ascii="Arial" w:hAnsi="Arial" w:cs="Arial"/>
        </w:rPr>
      </w:pPr>
      <w:r>
        <w:rPr>
          <w:rFonts w:ascii="Arial" w:hAnsi="Arial" w:cs="Arial"/>
        </w:rPr>
        <w:t>2.  Antičke poetike (Aristotel, Horacije)</w:t>
      </w:r>
    </w:p>
    <w:p w:rsidR="00745825" w:rsidRDefault="00745825">
      <w:pPr>
        <w:ind w:firstLine="360"/>
        <w:jc w:val="both"/>
        <w:rPr>
          <w:rFonts w:ascii="Arial" w:hAnsi="Arial" w:cs="Arial"/>
        </w:rPr>
      </w:pPr>
    </w:p>
    <w:p w:rsidR="00745825" w:rsidRDefault="00745825">
      <w:pPr>
        <w:pStyle w:val="BodyTextIndent"/>
        <w:jc w:val="both"/>
      </w:pPr>
      <w:r>
        <w:t>3.  Poetike u renesansi i klasicizmu (Castelvetro, Boileau, Corneille)</w:t>
      </w:r>
    </w:p>
    <w:p w:rsidR="00745825" w:rsidRDefault="00745825">
      <w:pPr>
        <w:ind w:firstLine="360"/>
        <w:jc w:val="both"/>
        <w:rPr>
          <w:rFonts w:ascii="Arial" w:hAnsi="Arial" w:cs="Arial"/>
        </w:rPr>
      </w:pPr>
    </w:p>
    <w:p w:rsidR="00745825" w:rsidRDefault="00745825">
      <w:pPr>
        <w:ind w:firstLine="360"/>
        <w:jc w:val="both"/>
        <w:rPr>
          <w:rFonts w:ascii="Arial" w:hAnsi="Arial" w:cs="Arial"/>
        </w:rPr>
      </w:pPr>
      <w:r>
        <w:rPr>
          <w:rFonts w:ascii="Arial" w:hAnsi="Arial" w:cs="Arial"/>
        </w:rPr>
        <w:t>4. G. E. Lessing: Hamburška dramaturgija / D. Diderot: Paradoks o glumcu</w:t>
      </w:r>
    </w:p>
    <w:p w:rsidR="00745825" w:rsidRDefault="00745825">
      <w:pPr>
        <w:ind w:firstLine="360"/>
        <w:jc w:val="both"/>
        <w:rPr>
          <w:rFonts w:ascii="Arial" w:hAnsi="Arial" w:cs="Arial"/>
        </w:rPr>
      </w:pPr>
    </w:p>
    <w:p w:rsidR="00745825" w:rsidRDefault="00745825">
      <w:pPr>
        <w:ind w:firstLine="360"/>
        <w:jc w:val="both"/>
        <w:rPr>
          <w:rFonts w:ascii="Arial" w:hAnsi="Arial" w:cs="Arial"/>
        </w:rPr>
      </w:pPr>
      <w:r>
        <w:rPr>
          <w:rFonts w:ascii="Arial" w:hAnsi="Arial" w:cs="Arial"/>
        </w:rPr>
        <w:t>5. V. Hugo: Predgovor "Cromwellu"</w:t>
      </w:r>
    </w:p>
    <w:p w:rsidR="00745825" w:rsidRDefault="00745825">
      <w:pPr>
        <w:ind w:firstLine="360"/>
        <w:jc w:val="both"/>
        <w:rPr>
          <w:rFonts w:ascii="Arial" w:hAnsi="Arial" w:cs="Arial"/>
        </w:rPr>
      </w:pPr>
    </w:p>
    <w:p w:rsidR="00745825" w:rsidRDefault="00745825">
      <w:pPr>
        <w:ind w:firstLine="360"/>
        <w:jc w:val="both"/>
        <w:rPr>
          <w:rFonts w:ascii="Arial" w:hAnsi="Arial" w:cs="Arial"/>
        </w:rPr>
      </w:pPr>
      <w:r>
        <w:rPr>
          <w:rFonts w:ascii="Arial" w:hAnsi="Arial" w:cs="Arial"/>
        </w:rPr>
        <w:t>6.  F. Nietzsche: Rođenje tragedije / Gesamtkunstwerk R. Wagnera</w:t>
      </w:r>
    </w:p>
    <w:p w:rsidR="00745825" w:rsidRDefault="00745825">
      <w:pPr>
        <w:ind w:firstLine="360"/>
        <w:jc w:val="both"/>
        <w:rPr>
          <w:rFonts w:ascii="Arial" w:hAnsi="Arial" w:cs="Arial"/>
        </w:rPr>
      </w:pPr>
    </w:p>
    <w:p w:rsidR="00745825" w:rsidRDefault="00745825">
      <w:pPr>
        <w:ind w:firstLine="36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7. Tijelo i scenografija: A. Appia / E. G. Craig </w:t>
      </w:r>
    </w:p>
    <w:p w:rsidR="00745825" w:rsidRDefault="00745825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(Carlson, Marvin, </w:t>
      </w:r>
      <w:r>
        <w:rPr>
          <w:rFonts w:ascii="Arial" w:hAnsi="Arial" w:cs="Arial"/>
          <w:i/>
          <w:iCs/>
        </w:rPr>
        <w:t xml:space="preserve">Kazališne teorije II, </w:t>
      </w:r>
      <w:r>
        <w:rPr>
          <w:rFonts w:ascii="Arial" w:hAnsi="Arial" w:cs="Arial"/>
        </w:rPr>
        <w:t xml:space="preserve">str. 183-186; Craig, Edward Gordon, </w:t>
      </w:r>
      <w:r>
        <w:rPr>
          <w:rFonts w:ascii="Arial" w:hAnsi="Arial" w:cs="Arial"/>
          <w:i/>
          <w:iCs/>
        </w:rPr>
        <w:t>O umjetnosti kazališta</w:t>
      </w:r>
      <w:r>
        <w:rPr>
          <w:rFonts w:ascii="Arial" w:hAnsi="Arial" w:cs="Arial"/>
        </w:rPr>
        <w:t>, "Umjetnost kazališta (Prvi dijalog)", str. 101-126)</w:t>
      </w:r>
    </w:p>
    <w:p w:rsidR="00745825" w:rsidRDefault="00745825">
      <w:pPr>
        <w:ind w:firstLine="360"/>
        <w:jc w:val="both"/>
        <w:rPr>
          <w:rFonts w:ascii="Arial" w:hAnsi="Arial" w:cs="Arial"/>
        </w:rPr>
      </w:pPr>
    </w:p>
    <w:p w:rsidR="00745825" w:rsidRDefault="00745825">
      <w:pPr>
        <w:ind w:firstLine="360"/>
        <w:jc w:val="both"/>
        <w:rPr>
          <w:rFonts w:ascii="Arial" w:hAnsi="Arial" w:cs="Arial"/>
        </w:rPr>
      </w:pPr>
    </w:p>
    <w:p w:rsidR="00745825" w:rsidRDefault="00745825">
      <w:pPr>
        <w:ind w:firstLine="360"/>
        <w:jc w:val="both"/>
        <w:rPr>
          <w:rFonts w:ascii="Arial" w:hAnsi="Arial" w:cs="Arial"/>
        </w:rPr>
      </w:pPr>
      <w:r>
        <w:rPr>
          <w:rFonts w:ascii="Arial" w:hAnsi="Arial" w:cs="Arial"/>
        </w:rPr>
        <w:t>8. "Sistem" K. S. Stanislavskog</w:t>
      </w:r>
    </w:p>
    <w:p w:rsidR="00745825" w:rsidRDefault="00745825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(Batušić, Nikola, </w:t>
      </w:r>
      <w:r>
        <w:rPr>
          <w:rFonts w:ascii="Arial" w:hAnsi="Arial" w:cs="Arial"/>
          <w:i/>
          <w:iCs/>
        </w:rPr>
        <w:t xml:space="preserve">Uvod u teatrologiju, </w:t>
      </w:r>
      <w:r>
        <w:rPr>
          <w:rFonts w:ascii="Arial" w:hAnsi="Arial" w:cs="Arial"/>
        </w:rPr>
        <w:t xml:space="preserve">str. 69-71; Stanislavski, K. S., </w:t>
      </w:r>
      <w:r>
        <w:rPr>
          <w:rFonts w:ascii="Arial" w:hAnsi="Arial" w:cs="Arial"/>
          <w:i/>
          <w:iCs/>
        </w:rPr>
        <w:t>Rad glumca na sebi I</w:t>
      </w:r>
      <w:r>
        <w:rPr>
          <w:rFonts w:ascii="Arial" w:hAnsi="Arial" w:cs="Arial"/>
        </w:rPr>
        <w:t>, str. 31-49)</w:t>
      </w:r>
    </w:p>
    <w:p w:rsidR="00745825" w:rsidRDefault="00745825">
      <w:pPr>
        <w:ind w:firstLine="360"/>
        <w:jc w:val="both"/>
        <w:rPr>
          <w:rFonts w:ascii="Arial" w:hAnsi="Arial" w:cs="Arial"/>
        </w:rPr>
      </w:pPr>
    </w:p>
    <w:p w:rsidR="00745825" w:rsidRDefault="00745825">
      <w:pPr>
        <w:ind w:firstLine="360"/>
        <w:jc w:val="both"/>
        <w:rPr>
          <w:rFonts w:ascii="Arial" w:hAnsi="Arial" w:cs="Arial"/>
        </w:rPr>
      </w:pPr>
      <w:r>
        <w:rPr>
          <w:rFonts w:ascii="Arial" w:hAnsi="Arial" w:cs="Arial"/>
        </w:rPr>
        <w:t>9. Biomehanika V. E. Mejerholjda</w:t>
      </w:r>
    </w:p>
    <w:p w:rsidR="00745825" w:rsidRDefault="00745825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(Carlson, Marvin, </w:t>
      </w:r>
      <w:r>
        <w:rPr>
          <w:rFonts w:ascii="Arial" w:hAnsi="Arial" w:cs="Arial"/>
          <w:i/>
          <w:iCs/>
        </w:rPr>
        <w:t xml:space="preserve">Kazališne teorije II, </w:t>
      </w:r>
      <w:r>
        <w:rPr>
          <w:rFonts w:ascii="Arial" w:hAnsi="Arial" w:cs="Arial"/>
        </w:rPr>
        <w:t xml:space="preserve">str. 216-219; Mejerholjd, V. E.: </w:t>
      </w:r>
      <w:r>
        <w:rPr>
          <w:rFonts w:ascii="Arial" w:hAnsi="Arial" w:cs="Arial"/>
          <w:i/>
          <w:iCs/>
        </w:rPr>
        <w:t>O pozorištu</w:t>
      </w:r>
      <w:r>
        <w:rPr>
          <w:rFonts w:ascii="Arial" w:hAnsi="Arial" w:cs="Arial"/>
        </w:rPr>
        <w:t>, "Nove forme 1902.-1906.", str. 55-91)</w:t>
      </w:r>
    </w:p>
    <w:p w:rsidR="00745825" w:rsidRDefault="00745825">
      <w:pPr>
        <w:ind w:firstLine="360"/>
        <w:jc w:val="both"/>
        <w:rPr>
          <w:rFonts w:ascii="Arial" w:hAnsi="Arial" w:cs="Arial"/>
        </w:rPr>
      </w:pPr>
    </w:p>
    <w:p w:rsidR="00745825" w:rsidRDefault="00745825">
      <w:pPr>
        <w:ind w:firstLine="360"/>
        <w:jc w:val="both"/>
        <w:rPr>
          <w:rFonts w:ascii="Arial" w:hAnsi="Arial" w:cs="Arial"/>
        </w:rPr>
      </w:pPr>
      <w:r>
        <w:rPr>
          <w:rFonts w:ascii="Arial" w:hAnsi="Arial" w:cs="Arial"/>
        </w:rPr>
        <w:t>10. Kazalište okrutnosti A. Artauda</w:t>
      </w:r>
    </w:p>
    <w:p w:rsidR="00745825" w:rsidRDefault="00745825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(Carlson, Marvin, </w:t>
      </w:r>
      <w:r>
        <w:rPr>
          <w:rFonts w:ascii="Arial" w:hAnsi="Arial" w:cs="Arial"/>
          <w:i/>
          <w:iCs/>
        </w:rPr>
        <w:t xml:space="preserve">Kazališne teorije III, </w:t>
      </w:r>
      <w:r>
        <w:rPr>
          <w:rFonts w:ascii="Arial" w:hAnsi="Arial" w:cs="Arial"/>
        </w:rPr>
        <w:t xml:space="preserve">str. 84-89; Artaud, Antonin, </w:t>
      </w:r>
      <w:r>
        <w:rPr>
          <w:rFonts w:ascii="Arial" w:hAnsi="Arial" w:cs="Arial"/>
          <w:i/>
          <w:iCs/>
        </w:rPr>
        <w:t>Kazalište i njegov dvojnik</w:t>
      </w:r>
      <w:r>
        <w:rPr>
          <w:rFonts w:ascii="Arial" w:hAnsi="Arial" w:cs="Arial"/>
        </w:rPr>
        <w:t xml:space="preserve">, "Kazalište i kuga", str. 15-30, "Istočnjačko i zapadnjačko kazalište" str. 64-69) </w:t>
      </w:r>
    </w:p>
    <w:p w:rsidR="00745825" w:rsidRDefault="00745825">
      <w:pPr>
        <w:ind w:firstLine="360"/>
        <w:jc w:val="both"/>
        <w:rPr>
          <w:rFonts w:ascii="Arial" w:hAnsi="Arial" w:cs="Arial"/>
        </w:rPr>
      </w:pPr>
    </w:p>
    <w:p w:rsidR="00745825" w:rsidRDefault="00745825">
      <w:pPr>
        <w:ind w:firstLine="36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11. Epsko kazalište B. Brechta </w:t>
      </w:r>
    </w:p>
    <w:p w:rsidR="00745825" w:rsidRDefault="00745825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(Carlson, Marvin, </w:t>
      </w:r>
      <w:r>
        <w:rPr>
          <w:rFonts w:ascii="Arial" w:hAnsi="Arial" w:cs="Arial"/>
          <w:i/>
          <w:iCs/>
        </w:rPr>
        <w:t xml:space="preserve">Kazališne teorije III, </w:t>
      </w:r>
      <w:r>
        <w:rPr>
          <w:rFonts w:ascii="Arial" w:hAnsi="Arial" w:cs="Arial"/>
        </w:rPr>
        <w:t xml:space="preserve">str. 70-74; Brecht, Bertolt, </w:t>
      </w:r>
      <w:r>
        <w:rPr>
          <w:rFonts w:ascii="Arial" w:hAnsi="Arial" w:cs="Arial"/>
          <w:i/>
          <w:iCs/>
        </w:rPr>
        <w:t>Dijalektika u teatru</w:t>
      </w:r>
      <w:r>
        <w:rPr>
          <w:rFonts w:ascii="Arial" w:hAnsi="Arial" w:cs="Arial"/>
        </w:rPr>
        <w:t>, "Ulični prizor", str. 92-102)</w:t>
      </w:r>
    </w:p>
    <w:p w:rsidR="00745825" w:rsidRDefault="00745825">
      <w:pPr>
        <w:ind w:firstLine="360"/>
        <w:jc w:val="both"/>
        <w:rPr>
          <w:rFonts w:ascii="Arial" w:hAnsi="Arial" w:cs="Arial"/>
        </w:rPr>
      </w:pPr>
    </w:p>
    <w:p w:rsidR="00745825" w:rsidRDefault="00745825">
      <w:pPr>
        <w:ind w:firstLine="36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12. Siromašno kazalište J. Grotowskoga </w:t>
      </w:r>
    </w:p>
    <w:p w:rsidR="00745825" w:rsidRDefault="00745825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(Carlson, Marvin, </w:t>
      </w:r>
      <w:r>
        <w:rPr>
          <w:rFonts w:ascii="Arial" w:hAnsi="Arial" w:cs="Arial"/>
          <w:i/>
          <w:iCs/>
        </w:rPr>
        <w:t xml:space="preserve">Kazališne teorije III, </w:t>
      </w:r>
      <w:r>
        <w:rPr>
          <w:rFonts w:ascii="Arial" w:hAnsi="Arial" w:cs="Arial"/>
        </w:rPr>
        <w:t xml:space="preserve">str. 171-174; Grotowski, Jerzy, </w:t>
      </w:r>
      <w:r>
        <w:rPr>
          <w:rFonts w:ascii="Arial" w:hAnsi="Arial" w:cs="Arial"/>
          <w:i/>
          <w:iCs/>
        </w:rPr>
        <w:t xml:space="preserve">Ka siromašnom pozorištu, </w:t>
      </w:r>
      <w:r>
        <w:rPr>
          <w:rFonts w:ascii="Arial" w:hAnsi="Arial" w:cs="Arial"/>
        </w:rPr>
        <w:t>"Ka siromašnom pozorištu", str. 15-23, "Novi zavet u pozorištu", str. 24-44)</w:t>
      </w:r>
    </w:p>
    <w:p w:rsidR="00745825" w:rsidRDefault="00745825">
      <w:pPr>
        <w:ind w:firstLine="360"/>
        <w:jc w:val="both"/>
        <w:rPr>
          <w:rFonts w:ascii="Arial" w:hAnsi="Arial" w:cs="Arial"/>
        </w:rPr>
      </w:pPr>
    </w:p>
    <w:p w:rsidR="00745825" w:rsidRDefault="00745825">
      <w:pPr>
        <w:ind w:firstLine="36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13. Kazališna antropologija (Barba) </w:t>
      </w:r>
    </w:p>
    <w:p w:rsidR="00745825" w:rsidRDefault="00745825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(Barba, Eugenio i Savarese, Nicola, </w:t>
      </w:r>
      <w:r>
        <w:rPr>
          <w:rFonts w:ascii="Arial" w:hAnsi="Arial" w:cs="Arial"/>
          <w:i/>
          <w:iCs/>
        </w:rPr>
        <w:t xml:space="preserve">Tajna umetnost glumca, </w:t>
      </w:r>
      <w:r>
        <w:rPr>
          <w:rFonts w:ascii="Arial" w:hAnsi="Arial" w:cs="Arial"/>
        </w:rPr>
        <w:t>"Uvod", str. 8-22</w:t>
      </w:r>
      <w:r>
        <w:rPr>
          <w:rFonts w:ascii="Arial" w:hAnsi="Arial" w:cs="Arial"/>
          <w:i/>
          <w:iCs/>
        </w:rPr>
        <w:t>)</w:t>
      </w:r>
    </w:p>
    <w:p w:rsidR="00745825" w:rsidRDefault="00745825">
      <w:pPr>
        <w:ind w:firstLine="360"/>
        <w:jc w:val="both"/>
        <w:rPr>
          <w:rFonts w:ascii="Arial" w:hAnsi="Arial" w:cs="Arial"/>
        </w:rPr>
      </w:pPr>
    </w:p>
    <w:p w:rsidR="00745825" w:rsidRDefault="00745825">
      <w:pPr>
        <w:ind w:firstLine="360"/>
        <w:jc w:val="both"/>
        <w:rPr>
          <w:rFonts w:ascii="Arial" w:hAnsi="Arial" w:cs="Arial"/>
        </w:rPr>
      </w:pPr>
      <w:r>
        <w:rPr>
          <w:rFonts w:ascii="Arial" w:hAnsi="Arial" w:cs="Arial"/>
        </w:rPr>
        <w:t>14. Komentari pismenih radova; zaključivanje kolegija.</w:t>
      </w:r>
    </w:p>
    <w:p w:rsidR="00745825" w:rsidRDefault="00745825">
      <w:pPr>
        <w:ind w:firstLine="360"/>
        <w:jc w:val="both"/>
        <w:rPr>
          <w:rFonts w:ascii="Arial" w:hAnsi="Arial" w:cs="Arial"/>
        </w:rPr>
      </w:pPr>
    </w:p>
    <w:p w:rsidR="00745825" w:rsidRDefault="00745825">
      <w:pPr>
        <w:ind w:firstLine="360"/>
        <w:jc w:val="both"/>
        <w:rPr>
          <w:rFonts w:ascii="Arial" w:hAnsi="Arial" w:cs="Arial"/>
        </w:rPr>
      </w:pPr>
      <w:r>
        <w:rPr>
          <w:rFonts w:ascii="Arial" w:hAnsi="Arial" w:cs="Arial"/>
        </w:rPr>
        <w:t>15. Ispit: test i esej.</w:t>
      </w:r>
    </w:p>
    <w:p w:rsidR="00745825" w:rsidRDefault="00745825">
      <w:pPr>
        <w:ind w:left="360" w:hanging="180"/>
        <w:jc w:val="both"/>
        <w:rPr>
          <w:rFonts w:ascii="Arial" w:hAnsi="Arial" w:cs="Arial"/>
        </w:rPr>
      </w:pPr>
    </w:p>
    <w:p w:rsidR="00745825" w:rsidRDefault="00745825">
      <w:pPr>
        <w:ind w:left="360" w:hanging="180"/>
        <w:jc w:val="both"/>
        <w:rPr>
          <w:rFonts w:ascii="Arial" w:hAnsi="Arial" w:cs="Arial"/>
          <w:b/>
          <w:bCs/>
        </w:rPr>
      </w:pPr>
    </w:p>
    <w:p w:rsidR="00745825" w:rsidRDefault="00745825">
      <w:pPr>
        <w:ind w:left="360" w:hanging="18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  <w:u w:val="single"/>
        </w:rPr>
        <w:t>Literatura</w:t>
      </w:r>
      <w:r>
        <w:rPr>
          <w:rFonts w:ascii="Arial" w:hAnsi="Arial" w:cs="Arial"/>
          <w:b/>
          <w:bCs/>
        </w:rPr>
        <w:t>:</w:t>
      </w:r>
    </w:p>
    <w:p w:rsidR="00745825" w:rsidRDefault="00745825">
      <w:pPr>
        <w:ind w:left="360" w:hanging="180"/>
        <w:jc w:val="both"/>
        <w:rPr>
          <w:rFonts w:ascii="Arial" w:hAnsi="Arial" w:cs="Arial"/>
        </w:rPr>
      </w:pPr>
    </w:p>
    <w:p w:rsidR="00745825" w:rsidRDefault="00745825">
      <w:pPr>
        <w:ind w:left="360" w:hanging="18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Osnovna</w:t>
      </w:r>
    </w:p>
    <w:p w:rsidR="00745825" w:rsidRDefault="00745825">
      <w:pPr>
        <w:numPr>
          <w:ilvl w:val="0"/>
          <w:numId w:val="1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Batušić, Nikola (1991), </w:t>
      </w:r>
      <w:r>
        <w:rPr>
          <w:rFonts w:ascii="Arial" w:hAnsi="Arial" w:cs="Arial"/>
          <w:i/>
          <w:iCs/>
        </w:rPr>
        <w:t>Uvod u teatrologiju,</w:t>
      </w:r>
      <w:r>
        <w:rPr>
          <w:rFonts w:ascii="Arial" w:hAnsi="Arial" w:cs="Arial"/>
        </w:rPr>
        <w:t xml:space="preserve"> Zagreb: Grafički zavod Hrvatske </w:t>
      </w:r>
    </w:p>
    <w:p w:rsidR="00745825" w:rsidRDefault="00745825">
      <w:pPr>
        <w:numPr>
          <w:ilvl w:val="0"/>
          <w:numId w:val="1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Beker, Miroslav (ur.) (1979), </w:t>
      </w:r>
      <w:r>
        <w:rPr>
          <w:rFonts w:ascii="Arial" w:hAnsi="Arial" w:cs="Arial"/>
          <w:i/>
          <w:iCs/>
        </w:rPr>
        <w:t>Povijest književnih teorija</w:t>
      </w:r>
      <w:r>
        <w:rPr>
          <w:rFonts w:ascii="Arial" w:hAnsi="Arial" w:cs="Arial"/>
        </w:rPr>
        <w:t>, Zagreb: SNL (odabrana poglavlja)</w:t>
      </w:r>
    </w:p>
    <w:p w:rsidR="00745825" w:rsidRDefault="00745825">
      <w:pPr>
        <w:numPr>
          <w:ilvl w:val="0"/>
          <w:numId w:val="1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Carlson, Marvin (1996-97), </w:t>
      </w:r>
      <w:r>
        <w:rPr>
          <w:rFonts w:ascii="Arial" w:hAnsi="Arial" w:cs="Arial"/>
          <w:i/>
          <w:iCs/>
        </w:rPr>
        <w:t>Kazališne teorije I-III</w:t>
      </w:r>
      <w:r>
        <w:rPr>
          <w:rFonts w:ascii="Arial" w:hAnsi="Arial" w:cs="Arial"/>
        </w:rPr>
        <w:t>, Zagreb: Hrvatski centar ITI (odabrana poglavlja)</w:t>
      </w:r>
    </w:p>
    <w:p w:rsidR="00745825" w:rsidRDefault="00745825">
      <w:pPr>
        <w:ind w:left="360" w:hanging="180"/>
        <w:jc w:val="both"/>
        <w:rPr>
          <w:rFonts w:ascii="Arial" w:hAnsi="Arial" w:cs="Arial"/>
          <w:b/>
          <w:bCs/>
        </w:rPr>
      </w:pPr>
    </w:p>
    <w:p w:rsidR="00745825" w:rsidRDefault="00745825">
      <w:pPr>
        <w:pStyle w:val="Heading1"/>
      </w:pPr>
      <w:r>
        <w:t>Dodatna</w:t>
      </w:r>
    </w:p>
    <w:p w:rsidR="00745825" w:rsidRDefault="00745825">
      <w:pPr>
        <w:numPr>
          <w:ilvl w:val="0"/>
          <w:numId w:val="2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Brown, John Russell ur. (1997), </w:t>
      </w:r>
      <w:r>
        <w:rPr>
          <w:rFonts w:ascii="Arial" w:hAnsi="Arial" w:cs="Arial"/>
          <w:i/>
          <w:iCs/>
        </w:rPr>
        <w:t>The Oxford Illustrated History of Theatre</w:t>
      </w:r>
      <w:r>
        <w:rPr>
          <w:rFonts w:ascii="Arial" w:hAnsi="Arial" w:cs="Arial"/>
        </w:rPr>
        <w:t>, Oxford – New York: Oxford University Press</w:t>
      </w:r>
    </w:p>
    <w:p w:rsidR="00745825" w:rsidRDefault="00745825">
      <w:pPr>
        <w:numPr>
          <w:ilvl w:val="0"/>
          <w:numId w:val="2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Pavis, Patrice (2004), </w:t>
      </w:r>
      <w:r>
        <w:rPr>
          <w:rFonts w:ascii="Arial" w:hAnsi="Arial" w:cs="Arial"/>
          <w:i/>
          <w:iCs/>
        </w:rPr>
        <w:t>Pojmovnik teatra</w:t>
      </w:r>
      <w:r>
        <w:rPr>
          <w:rFonts w:ascii="Arial" w:hAnsi="Arial" w:cs="Arial"/>
        </w:rPr>
        <w:t xml:space="preserve">, Zagreb: ADU - CDU – Antibarbarus </w:t>
      </w:r>
    </w:p>
    <w:p w:rsidR="00745825" w:rsidRDefault="00745825">
      <w:pPr>
        <w:numPr>
          <w:ilvl w:val="0"/>
          <w:numId w:val="2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Aristotel (1983), </w:t>
      </w:r>
      <w:r>
        <w:rPr>
          <w:rFonts w:ascii="Arial" w:hAnsi="Arial" w:cs="Arial"/>
          <w:i/>
          <w:iCs/>
        </w:rPr>
        <w:t>O pjesničkom umijeću</w:t>
      </w:r>
      <w:r>
        <w:rPr>
          <w:rFonts w:ascii="Arial" w:hAnsi="Arial" w:cs="Arial"/>
        </w:rPr>
        <w:t>, Zagreb</w:t>
      </w:r>
    </w:p>
    <w:p w:rsidR="00745825" w:rsidRDefault="00745825">
      <w:pPr>
        <w:numPr>
          <w:ilvl w:val="0"/>
          <w:numId w:val="2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Boileau, Nicolas (1975), </w:t>
      </w:r>
      <w:r>
        <w:rPr>
          <w:rFonts w:ascii="Arial" w:hAnsi="Arial" w:cs="Arial"/>
          <w:i/>
          <w:iCs/>
        </w:rPr>
        <w:t>Pjesničko umijeće</w:t>
      </w:r>
      <w:r>
        <w:rPr>
          <w:rFonts w:ascii="Arial" w:hAnsi="Arial" w:cs="Arial"/>
        </w:rPr>
        <w:t>, Zagreb</w:t>
      </w:r>
    </w:p>
    <w:p w:rsidR="00745825" w:rsidRDefault="00745825">
      <w:pPr>
        <w:numPr>
          <w:ilvl w:val="0"/>
          <w:numId w:val="2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Gothold Ephraim Lessing (1950), </w:t>
      </w:r>
      <w:r>
        <w:rPr>
          <w:rFonts w:ascii="Arial" w:hAnsi="Arial" w:cs="Arial"/>
          <w:i/>
          <w:iCs/>
        </w:rPr>
        <w:t>Hamburška dramaturgija</w:t>
      </w:r>
      <w:r>
        <w:rPr>
          <w:rFonts w:ascii="Arial" w:hAnsi="Arial" w:cs="Arial"/>
        </w:rPr>
        <w:t>, Zagreb: Zora</w:t>
      </w:r>
    </w:p>
    <w:p w:rsidR="00745825" w:rsidRDefault="00745825">
      <w:pPr>
        <w:numPr>
          <w:ilvl w:val="0"/>
          <w:numId w:val="2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Diderot, Denis (1958), </w:t>
      </w:r>
      <w:r>
        <w:rPr>
          <w:rFonts w:ascii="Arial" w:hAnsi="Arial" w:cs="Arial"/>
          <w:i/>
          <w:iCs/>
        </w:rPr>
        <w:t>Paradoks o glumcu</w:t>
      </w:r>
      <w:r>
        <w:rPr>
          <w:rFonts w:ascii="Arial" w:hAnsi="Arial" w:cs="Arial"/>
        </w:rPr>
        <w:t>, Zagreb: Zora</w:t>
      </w:r>
    </w:p>
    <w:p w:rsidR="00745825" w:rsidRDefault="00745825">
      <w:pPr>
        <w:numPr>
          <w:ilvl w:val="0"/>
          <w:numId w:val="2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Friedrich Nietzsche (1997), </w:t>
      </w:r>
      <w:r>
        <w:rPr>
          <w:rFonts w:ascii="Arial" w:hAnsi="Arial" w:cs="Arial"/>
          <w:i/>
          <w:iCs/>
        </w:rPr>
        <w:t xml:space="preserve">Rođenje tragedije, </w:t>
      </w:r>
      <w:r>
        <w:rPr>
          <w:rFonts w:ascii="Arial" w:hAnsi="Arial" w:cs="Arial"/>
        </w:rPr>
        <w:t>Zagreb: Matica hrvatska</w:t>
      </w:r>
    </w:p>
    <w:p w:rsidR="00745825" w:rsidRDefault="00745825">
      <w:pPr>
        <w:numPr>
          <w:ilvl w:val="0"/>
          <w:numId w:val="2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Craig, Edward Gordon (1980), </w:t>
      </w:r>
      <w:r>
        <w:rPr>
          <w:rFonts w:ascii="Arial" w:hAnsi="Arial" w:cs="Arial"/>
          <w:i/>
          <w:iCs/>
        </w:rPr>
        <w:t>O umjetnosti kazališta</w:t>
      </w:r>
      <w:r>
        <w:rPr>
          <w:rFonts w:ascii="Arial" w:hAnsi="Arial" w:cs="Arial"/>
        </w:rPr>
        <w:t xml:space="preserve">, Zagreb: CEKADE </w:t>
      </w:r>
    </w:p>
    <w:p w:rsidR="00745825" w:rsidRDefault="00745825">
      <w:pPr>
        <w:numPr>
          <w:ilvl w:val="0"/>
          <w:numId w:val="2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Stanislavski, K. S. (1991), </w:t>
      </w:r>
      <w:r>
        <w:rPr>
          <w:rFonts w:ascii="Arial" w:hAnsi="Arial" w:cs="Arial"/>
          <w:i/>
          <w:iCs/>
        </w:rPr>
        <w:t>Rad glumca na sebi I-II</w:t>
      </w:r>
      <w:r>
        <w:rPr>
          <w:rFonts w:ascii="Arial" w:hAnsi="Arial" w:cs="Arial"/>
        </w:rPr>
        <w:t xml:space="preserve">, Zagreb: CEKADE </w:t>
      </w:r>
    </w:p>
    <w:p w:rsidR="00745825" w:rsidRDefault="00745825">
      <w:pPr>
        <w:numPr>
          <w:ilvl w:val="0"/>
          <w:numId w:val="2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Mejerholjd, V. E.: O pozorištu, Beograd, Nolit 1976.</w:t>
      </w:r>
    </w:p>
    <w:p w:rsidR="00745825" w:rsidRDefault="00745825">
      <w:pPr>
        <w:numPr>
          <w:ilvl w:val="0"/>
          <w:numId w:val="2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Artaud, Antonin (2000), </w:t>
      </w:r>
      <w:r>
        <w:rPr>
          <w:rFonts w:ascii="Arial" w:hAnsi="Arial" w:cs="Arial"/>
          <w:i/>
          <w:iCs/>
        </w:rPr>
        <w:t>Kazalište i njegov dvojnik</w:t>
      </w:r>
      <w:r>
        <w:rPr>
          <w:rFonts w:ascii="Arial" w:hAnsi="Arial" w:cs="Arial"/>
        </w:rPr>
        <w:t xml:space="preserve">, Zagreb: Hrvatski centar ITI </w:t>
      </w:r>
    </w:p>
    <w:p w:rsidR="00745825" w:rsidRDefault="00745825">
      <w:pPr>
        <w:numPr>
          <w:ilvl w:val="0"/>
          <w:numId w:val="2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Brecht, Bertolt (1979) </w:t>
      </w:r>
      <w:r>
        <w:rPr>
          <w:rFonts w:ascii="Arial" w:hAnsi="Arial" w:cs="Arial"/>
          <w:i/>
          <w:iCs/>
        </w:rPr>
        <w:t>Dijalektika u teatru</w:t>
      </w:r>
      <w:r>
        <w:rPr>
          <w:rFonts w:ascii="Arial" w:hAnsi="Arial" w:cs="Arial"/>
        </w:rPr>
        <w:t xml:space="preserve">, Beograd: Nolit </w:t>
      </w:r>
    </w:p>
    <w:p w:rsidR="00745825" w:rsidRDefault="00745825">
      <w:pPr>
        <w:numPr>
          <w:ilvl w:val="0"/>
          <w:numId w:val="2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Grotowski, Jerzy (1976) </w:t>
      </w:r>
      <w:r>
        <w:rPr>
          <w:rFonts w:ascii="Arial" w:hAnsi="Arial" w:cs="Arial"/>
          <w:i/>
          <w:iCs/>
        </w:rPr>
        <w:t>Ka siromašnom pozorištu</w:t>
      </w:r>
      <w:r>
        <w:rPr>
          <w:rFonts w:ascii="Arial" w:hAnsi="Arial" w:cs="Arial"/>
        </w:rPr>
        <w:t xml:space="preserve">, Beograd </w:t>
      </w:r>
    </w:p>
    <w:p w:rsidR="00745825" w:rsidRDefault="00745825">
      <w:pPr>
        <w:numPr>
          <w:ilvl w:val="0"/>
          <w:numId w:val="2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Barba, Eugenio i Savarese, Nicola (1996), </w:t>
      </w:r>
      <w:r>
        <w:rPr>
          <w:rFonts w:ascii="Arial" w:hAnsi="Arial" w:cs="Arial"/>
          <w:i/>
          <w:iCs/>
        </w:rPr>
        <w:t>Tajna umetnost glumca</w:t>
      </w:r>
      <w:r>
        <w:rPr>
          <w:rFonts w:ascii="Arial" w:hAnsi="Arial" w:cs="Arial"/>
        </w:rPr>
        <w:t xml:space="preserve">, Beograd: FDU </w:t>
      </w:r>
    </w:p>
    <w:p w:rsidR="00745825" w:rsidRDefault="00745825">
      <w:pPr>
        <w:numPr>
          <w:ilvl w:val="0"/>
          <w:numId w:val="2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Victor Turner (1989), </w:t>
      </w:r>
      <w:r>
        <w:rPr>
          <w:rFonts w:ascii="Arial" w:hAnsi="Arial" w:cs="Arial"/>
          <w:i/>
          <w:iCs/>
        </w:rPr>
        <w:t>Od rituala do teatra</w:t>
      </w:r>
      <w:r>
        <w:rPr>
          <w:rFonts w:ascii="Arial" w:hAnsi="Arial" w:cs="Arial"/>
        </w:rPr>
        <w:t xml:space="preserve">, Zagreb </w:t>
      </w:r>
    </w:p>
    <w:p w:rsidR="00745825" w:rsidRDefault="00745825">
      <w:pPr>
        <w:numPr>
          <w:ilvl w:val="0"/>
          <w:numId w:val="2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Richard Schechner (1988), </w:t>
      </w:r>
      <w:r>
        <w:rPr>
          <w:rFonts w:ascii="Arial" w:hAnsi="Arial" w:cs="Arial"/>
          <w:i/>
          <w:iCs/>
        </w:rPr>
        <w:t>Performance Theory</w:t>
      </w:r>
      <w:r>
        <w:rPr>
          <w:rFonts w:ascii="Arial" w:hAnsi="Arial" w:cs="Arial"/>
        </w:rPr>
        <w:t xml:space="preserve">, New York – London: Routledge </w:t>
      </w:r>
    </w:p>
    <w:p w:rsidR="00745825" w:rsidRDefault="00745825">
      <w:pPr>
        <w:numPr>
          <w:ilvl w:val="0"/>
          <w:numId w:val="2"/>
        </w:numPr>
        <w:jc w:val="both"/>
        <w:rPr>
          <w:rFonts w:ascii="Arial" w:hAnsi="Arial" w:cs="Arial"/>
        </w:rPr>
      </w:pPr>
      <w:r>
        <w:rPr>
          <w:rFonts w:ascii="Arial" w:hAnsi="Arial" w:cs="Arial"/>
          <w:bCs/>
        </w:rPr>
        <w:t>Lehmann,</w:t>
      </w:r>
      <w:r>
        <w:rPr>
          <w:rFonts w:ascii="Arial" w:hAnsi="Arial" w:cs="Arial"/>
          <w:b/>
        </w:rPr>
        <w:t xml:space="preserve"> </w:t>
      </w:r>
      <w:r>
        <w:rPr>
          <w:rFonts w:ascii="Arial" w:hAnsi="Arial" w:cs="Arial"/>
        </w:rPr>
        <w:t xml:space="preserve">Hans-Thies (2004), </w:t>
      </w:r>
      <w:r>
        <w:rPr>
          <w:rFonts w:ascii="Arial" w:hAnsi="Arial" w:cs="Arial"/>
          <w:i/>
        </w:rPr>
        <w:t>Postdramsko kazalište</w:t>
      </w:r>
      <w:r>
        <w:rPr>
          <w:rFonts w:ascii="Arial" w:hAnsi="Arial" w:cs="Arial"/>
        </w:rPr>
        <w:t>, Zagreb: Akcija</w:t>
      </w:r>
    </w:p>
    <w:sectPr w:rsidR="00745825" w:rsidSect="00743991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5563043"/>
    <w:multiLevelType w:val="hybridMultilevel"/>
    <w:tmpl w:val="5428D642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6B057DD0"/>
    <w:multiLevelType w:val="hybridMultilevel"/>
    <w:tmpl w:val="24426DF2"/>
    <w:lvl w:ilvl="0" w:tplc="0A5CCB1A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embedSystemFonts/>
  <w:proofState w:spelling="clean" w:grammar="clean"/>
  <w:stylePaneFormatFilter w:val="3F01"/>
  <w:defaultTabStop w:val="708"/>
  <w:hyphenationZone w:val="425"/>
  <w:noPunctuationKerning/>
  <w:characterSpacingControl w:val="doNotCompress"/>
  <w:compat/>
  <w:rsids>
    <w:rsidRoot w:val="006B7480"/>
    <w:rsid w:val="00377F57"/>
    <w:rsid w:val="00600D87"/>
    <w:rsid w:val="006B7480"/>
    <w:rsid w:val="00743991"/>
    <w:rsid w:val="00745825"/>
    <w:rsid w:val="00795430"/>
    <w:rsid w:val="008C2659"/>
    <w:rsid w:val="00CB7800"/>
    <w:rsid w:val="00DF3E73"/>
    <w:rsid w:val="00E42064"/>
    <w:rsid w:val="00F95081"/>
    <w:rsid w:val="00FB606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743991"/>
    <w:rPr>
      <w:sz w:val="24"/>
      <w:szCs w:val="24"/>
    </w:rPr>
  </w:style>
  <w:style w:type="paragraph" w:styleId="Heading1">
    <w:name w:val="heading 1"/>
    <w:basedOn w:val="Normal"/>
    <w:next w:val="Normal"/>
    <w:qFormat/>
    <w:rsid w:val="00743991"/>
    <w:pPr>
      <w:keepNext/>
      <w:ind w:left="180"/>
      <w:jc w:val="both"/>
      <w:outlineLvl w:val="0"/>
    </w:pPr>
    <w:rPr>
      <w:rFonts w:ascii="Arial" w:hAnsi="Arial" w:cs="Arial"/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">
    <w:name w:val="Body Text Indent"/>
    <w:basedOn w:val="Normal"/>
    <w:rsid w:val="00743991"/>
    <w:pPr>
      <w:ind w:firstLine="360"/>
    </w:pPr>
    <w:rPr>
      <w:rFonts w:ascii="Arial" w:hAnsi="Arial" w:cs="Aria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hr-HR" w:eastAsia="hr-H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635</Words>
  <Characters>3626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Naziv studija: Komparativna književnost</vt:lpstr>
    </vt:vector>
  </TitlesOfParts>
  <Company/>
  <LinksUpToDate>false</LinksUpToDate>
  <CharactersWithSpaces>4253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Naziv studija: Komparativna književnost</dc:title>
  <dc:creator>Korisnik</dc:creator>
  <cp:lastModifiedBy>Tena Leko</cp:lastModifiedBy>
  <cp:revision>2</cp:revision>
  <dcterms:created xsi:type="dcterms:W3CDTF">2018-10-11T08:07:00Z</dcterms:created>
  <dcterms:modified xsi:type="dcterms:W3CDTF">2018-10-11T08:07:00Z</dcterms:modified>
</cp:coreProperties>
</file>